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Default="00B83815" w:rsidP="00B83815">
      <w:pPr>
        <w:pStyle w:val="Prrafodelista"/>
        <w:spacing w:line="360" w:lineRule="auto"/>
        <w:ind w:left="426"/>
        <w:jc w:val="center"/>
        <w:rPr>
          <w:rFonts w:ascii="Arial Narrow" w:hAnsi="Arial Narrow"/>
          <w:sz w:val="96"/>
          <w:szCs w:val="96"/>
        </w:rPr>
      </w:pPr>
    </w:p>
    <w:p w:rsidR="00B83815" w:rsidRDefault="00B83815" w:rsidP="00B83815">
      <w:pPr>
        <w:pStyle w:val="Prrafodelista"/>
        <w:spacing w:line="360" w:lineRule="auto"/>
        <w:ind w:left="426"/>
        <w:jc w:val="center"/>
        <w:rPr>
          <w:rFonts w:ascii="Arial Narrow" w:hAnsi="Arial Narrow"/>
          <w:sz w:val="96"/>
          <w:szCs w:val="96"/>
        </w:rPr>
      </w:pPr>
    </w:p>
    <w:p w:rsidR="00B83815" w:rsidRPr="00992D26" w:rsidRDefault="00B83815" w:rsidP="00B83815">
      <w:pPr>
        <w:pStyle w:val="Prrafodelista"/>
        <w:spacing w:line="360" w:lineRule="auto"/>
        <w:ind w:left="426"/>
        <w:jc w:val="center"/>
        <w:rPr>
          <w:rFonts w:ascii="Arial Narrow" w:hAnsi="Arial Narrow"/>
          <w:sz w:val="72"/>
          <w:szCs w:val="72"/>
        </w:rPr>
      </w:pPr>
      <w:r w:rsidRPr="00992D26">
        <w:rPr>
          <w:rFonts w:ascii="Arial Narrow" w:hAnsi="Arial Narrow"/>
          <w:sz w:val="72"/>
          <w:szCs w:val="72"/>
        </w:rPr>
        <w:t>ANÁLISIS CUALITATIVO DE LOS INDICADORES DE LA POSTURA FISCAL</w:t>
      </w: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firstLine="0"/>
        <w:jc w:val="left"/>
        <w:rPr>
          <w:rFonts w:ascii="Arial Narrow" w:hAnsi="Arial Narrow"/>
          <w:b/>
          <w:bCs/>
          <w:sz w:val="3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lastRenderedPageBreak/>
        <w:t>2.- ANÁLISIS CUALITATIVO DE LOS INDICADORES DE LA POSTURA FISCAL</w:t>
      </w:r>
    </w:p>
    <w:p w:rsidR="00B83815" w:rsidRPr="00992D26" w:rsidRDefault="00B83815" w:rsidP="00B83815">
      <w:pPr>
        <w:pStyle w:val="Sangradetextonormal"/>
        <w:spacing w:line="240" w:lineRule="auto"/>
        <w:ind w:firstLine="0"/>
        <w:jc w:val="left"/>
        <w:rPr>
          <w:rFonts w:ascii="Arial Narrow" w:hAnsi="Arial Narrow"/>
          <w:b/>
          <w:bCs/>
          <w:szCs w:val="28"/>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 PANORAMA ECONÓMICO Y POSTURA FISCAL</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En esta sección se presenta un análisis del comportamiento de las finanzas públicas federales y locales, que refleja en forma sucinta y clara la situación general de la econom</w:t>
      </w:r>
      <w:r w:rsidR="00080748">
        <w:rPr>
          <w:rFonts w:ascii="Arial Narrow" w:hAnsi="Arial Narrow"/>
          <w:sz w:val="22"/>
          <w:szCs w:val="22"/>
        </w:rPr>
        <w:t>ía durante el ejercicio 2017</w:t>
      </w:r>
      <w:r w:rsidRPr="00992D26">
        <w:rPr>
          <w:rFonts w:ascii="Arial Narrow" w:hAnsi="Arial Narrow"/>
          <w:sz w:val="22"/>
          <w:szCs w:val="22"/>
        </w:rPr>
        <w:t>, tanto a nivel nacional como estatal.</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Al respecto, se enlistan los objetivos, estrategias y metas de la política económica, continuando con una descripción de la evolución de las principales variables económicas: el producto interno bruto nacional, estatal y por sectores, empleo, inflación, tasas de interés, importaciones y exportaciones, entre otras.</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Así mismo, se señalan los objetivos, estrategias y metas de la política fiscal, así como las líneas de acción para el ejercicio que nos ocupa, reportando finalmente los resultados generales de las finanzas públicas federales y locales.</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 Ámbito Federal</w:t>
      </w: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rPr>
          <w:rFonts w:ascii="Arial Narrow" w:hAnsi="Arial Narrow"/>
          <w:sz w:val="22"/>
          <w:szCs w:val="22"/>
        </w:rPr>
      </w:pPr>
      <w:r w:rsidRPr="00992D26">
        <w:rPr>
          <w:rFonts w:ascii="Arial Narrow" w:hAnsi="Arial Narrow"/>
          <w:sz w:val="22"/>
          <w:szCs w:val="22"/>
        </w:rPr>
        <w:t>Los Criterios Generales</w:t>
      </w:r>
      <w:r w:rsidR="003D5417">
        <w:rPr>
          <w:rFonts w:ascii="Arial Narrow" w:hAnsi="Arial Narrow"/>
          <w:sz w:val="22"/>
          <w:szCs w:val="22"/>
        </w:rPr>
        <w:t xml:space="preserve"> de Política Económica para 2017</w:t>
      </w:r>
      <w:r w:rsidRPr="00992D26">
        <w:rPr>
          <w:rFonts w:ascii="Arial Narrow" w:hAnsi="Arial Narrow"/>
          <w:sz w:val="22"/>
          <w:szCs w:val="22"/>
        </w:rPr>
        <w:t xml:space="preserve"> fueron emitidos por el Gobierno Federal teniendo previsto un entorno </w:t>
      </w:r>
      <w:r w:rsidR="003D5417">
        <w:rPr>
          <w:rFonts w:ascii="Arial Narrow" w:hAnsi="Arial Narrow"/>
          <w:sz w:val="22"/>
          <w:szCs w:val="22"/>
        </w:rPr>
        <w:t>externo adverso, caracterizado por una alta volatilidad en los mercados financieros globales, un crecimiento negativo de la producción industrial en los Estados Unidos de América, bajos precios del petróleo y una mayor probabilidad de políticas proteccionistas en el mundo.</w:t>
      </w:r>
    </w:p>
    <w:p w:rsidR="006C5C60" w:rsidRDefault="006C5C60" w:rsidP="00B83815">
      <w:pPr>
        <w:pStyle w:val="Sangradetextonormal"/>
        <w:rPr>
          <w:rFonts w:ascii="Arial Narrow" w:hAnsi="Arial Narrow"/>
          <w:sz w:val="22"/>
          <w:szCs w:val="22"/>
        </w:rPr>
      </w:pPr>
    </w:p>
    <w:p w:rsidR="00E55E7D" w:rsidRDefault="006C5C60" w:rsidP="00B83815">
      <w:pPr>
        <w:pStyle w:val="Sangradetextonormal"/>
        <w:rPr>
          <w:rFonts w:ascii="Arial Narrow" w:hAnsi="Arial Narrow"/>
          <w:sz w:val="22"/>
          <w:szCs w:val="22"/>
        </w:rPr>
      </w:pPr>
      <w:r>
        <w:rPr>
          <w:rFonts w:ascii="Arial Narrow" w:hAnsi="Arial Narrow"/>
          <w:sz w:val="22"/>
          <w:szCs w:val="22"/>
        </w:rPr>
        <w:t xml:space="preserve">Así mismo, se </w:t>
      </w:r>
      <w:r w:rsidR="00E55E7D">
        <w:rPr>
          <w:rFonts w:ascii="Arial Narrow" w:hAnsi="Arial Narrow"/>
          <w:sz w:val="22"/>
          <w:szCs w:val="22"/>
        </w:rPr>
        <w:t xml:space="preserve">destacó que a pesar de los sólidos fundamentos económicos, los mercados financieros en México no han sido inmunes a los episodios de volatilidad que se han observado, sin embargo, el régimen de libre flotación del peso ha funcionado como un mecanismo amortiguador, mitigando su efecto sobre las </w:t>
      </w:r>
      <w:r w:rsidR="00E55E7D">
        <w:rPr>
          <w:rFonts w:ascii="Arial Narrow" w:hAnsi="Arial Narrow"/>
          <w:sz w:val="22"/>
          <w:szCs w:val="22"/>
        </w:rPr>
        <w:lastRenderedPageBreak/>
        <w:t>variables financieras internas, manteniendo la competitividad del comercio exterior</w:t>
      </w:r>
      <w:r w:rsidR="009E0B11">
        <w:rPr>
          <w:rFonts w:ascii="Arial Narrow" w:hAnsi="Arial Narrow"/>
          <w:sz w:val="22"/>
          <w:szCs w:val="22"/>
        </w:rPr>
        <w:t>,</w:t>
      </w:r>
      <w:r w:rsidR="00E55E7D">
        <w:rPr>
          <w:rFonts w:ascii="Arial Narrow" w:hAnsi="Arial Narrow"/>
          <w:sz w:val="22"/>
          <w:szCs w:val="22"/>
        </w:rPr>
        <w:t xml:space="preserve"> sin generar un impacto al nivel de precios en el país.</w:t>
      </w:r>
    </w:p>
    <w:p w:rsidR="00E55E7D" w:rsidRDefault="00E55E7D" w:rsidP="00B83815">
      <w:pPr>
        <w:pStyle w:val="Sangradetextonormal"/>
        <w:rPr>
          <w:rFonts w:ascii="Arial Narrow" w:hAnsi="Arial Narrow"/>
          <w:sz w:val="22"/>
          <w:szCs w:val="22"/>
        </w:rPr>
      </w:pPr>
    </w:p>
    <w:p w:rsidR="006C5C60" w:rsidRDefault="00E55E7D" w:rsidP="00B83815">
      <w:pPr>
        <w:pStyle w:val="Sangradetextonormal"/>
        <w:rPr>
          <w:rFonts w:ascii="Arial Narrow" w:hAnsi="Arial Narrow"/>
          <w:sz w:val="22"/>
          <w:szCs w:val="22"/>
        </w:rPr>
      </w:pPr>
      <w:r>
        <w:rPr>
          <w:rFonts w:ascii="Arial Narrow" w:hAnsi="Arial Narrow"/>
          <w:sz w:val="22"/>
          <w:szCs w:val="22"/>
        </w:rPr>
        <w:t xml:space="preserve">Al respecto, se </w:t>
      </w:r>
      <w:r w:rsidR="006C5C60">
        <w:rPr>
          <w:rFonts w:ascii="Arial Narrow" w:hAnsi="Arial Narrow"/>
          <w:sz w:val="22"/>
          <w:szCs w:val="22"/>
        </w:rPr>
        <w:t xml:space="preserve">contempló en el documento mencionado que </w:t>
      </w:r>
      <w:r w:rsidR="003D5417">
        <w:rPr>
          <w:rFonts w:ascii="Arial Narrow" w:hAnsi="Arial Narrow"/>
          <w:sz w:val="22"/>
          <w:szCs w:val="22"/>
        </w:rPr>
        <w:t>el desempeño de México se da en un ambiente de incertidumbre económica y geopolítica, en el que la nación estadounidense continuó mostrando crecimiento durante 2016, apoyado en la mejoría de las condiciones del mercado laboral y e</w:t>
      </w:r>
      <w:r>
        <w:rPr>
          <w:rFonts w:ascii="Arial Narrow" w:hAnsi="Arial Narrow"/>
          <w:sz w:val="22"/>
          <w:szCs w:val="22"/>
        </w:rPr>
        <w:t>l dinamismo del consumo privado, precisándose que la Unión Europea muestra signos de una recuperación moderada, siendo la demanda interna y la inversi</w:t>
      </w:r>
      <w:r w:rsidR="00576596">
        <w:rPr>
          <w:rFonts w:ascii="Arial Narrow" w:hAnsi="Arial Narrow"/>
          <w:sz w:val="22"/>
          <w:szCs w:val="22"/>
        </w:rPr>
        <w:t>ón</w:t>
      </w:r>
      <w:r>
        <w:rPr>
          <w:rFonts w:ascii="Arial Narrow" w:hAnsi="Arial Narrow"/>
          <w:sz w:val="22"/>
          <w:szCs w:val="22"/>
        </w:rPr>
        <w:t xml:space="preserve"> los factores que ha contri</w:t>
      </w:r>
      <w:r w:rsidR="00576596">
        <w:rPr>
          <w:rFonts w:ascii="Arial Narrow" w:hAnsi="Arial Narrow"/>
          <w:sz w:val="22"/>
          <w:szCs w:val="22"/>
        </w:rPr>
        <w:t>buido al crecimiento de la zona, señalando además que las economías emergentes, en su conjunto, muestran debilidad y riesgos.</w:t>
      </w:r>
    </w:p>
    <w:p w:rsidR="002827EC" w:rsidRPr="00992D26" w:rsidRDefault="002827EC" w:rsidP="00B83815">
      <w:pPr>
        <w:pStyle w:val="Sangradetextonormal"/>
        <w:rPr>
          <w:rFonts w:ascii="Arial Narrow" w:hAnsi="Arial Narrow"/>
          <w:sz w:val="22"/>
          <w:szCs w:val="22"/>
        </w:rPr>
      </w:pPr>
    </w:p>
    <w:p w:rsidR="005E1CA6" w:rsidRDefault="00B83815" w:rsidP="00B83815">
      <w:pPr>
        <w:pStyle w:val="Sangradetextonormal"/>
        <w:rPr>
          <w:rFonts w:ascii="Arial Narrow" w:hAnsi="Arial Narrow"/>
          <w:sz w:val="22"/>
          <w:szCs w:val="22"/>
        </w:rPr>
      </w:pPr>
      <w:r w:rsidRPr="00992D26">
        <w:rPr>
          <w:rFonts w:ascii="Arial Narrow" w:hAnsi="Arial Narrow"/>
          <w:sz w:val="22"/>
          <w:szCs w:val="22"/>
        </w:rPr>
        <w:t xml:space="preserve">No obstante lo descrito, se </w:t>
      </w:r>
      <w:r w:rsidR="00576596">
        <w:rPr>
          <w:rFonts w:ascii="Arial Narrow" w:hAnsi="Arial Narrow"/>
          <w:sz w:val="22"/>
          <w:szCs w:val="22"/>
        </w:rPr>
        <w:t>enfatizó la existencia de perspectivas de un mayor dinamismo en los próximos años que se asocian a un mejor desempeño en la economía mundial, en particular a la producción industrial de los Estados Unidos de América, a los beneficios de las Reformas Estructurales, incluyendo la estabilización y un eventual incremento en la producción de petróleo</w:t>
      </w:r>
      <w:r w:rsidR="005E28B3">
        <w:rPr>
          <w:rFonts w:ascii="Arial Narrow" w:hAnsi="Arial Narrow"/>
          <w:sz w:val="22"/>
          <w:szCs w:val="22"/>
        </w:rPr>
        <w:t>, las cuales permitirán incrementar la productividad en forma sustancial.</w:t>
      </w:r>
    </w:p>
    <w:p w:rsidR="005E1CA6" w:rsidRDefault="005E1CA6" w:rsidP="00B83815">
      <w:pPr>
        <w:pStyle w:val="Sangradetextonormal"/>
        <w:rPr>
          <w:rFonts w:ascii="Arial Narrow" w:hAnsi="Arial Narrow"/>
          <w:sz w:val="22"/>
          <w:szCs w:val="22"/>
        </w:rPr>
      </w:pPr>
    </w:p>
    <w:p w:rsidR="00B83815" w:rsidRPr="00992D26" w:rsidRDefault="005E1CA6" w:rsidP="00B83815">
      <w:pPr>
        <w:pStyle w:val="Sangradetextonormal"/>
        <w:rPr>
          <w:rFonts w:ascii="Arial Narrow" w:hAnsi="Arial Narrow"/>
          <w:sz w:val="22"/>
          <w:szCs w:val="22"/>
        </w:rPr>
      </w:pPr>
      <w:r>
        <w:rPr>
          <w:rFonts w:ascii="Arial Narrow" w:hAnsi="Arial Narrow"/>
          <w:sz w:val="22"/>
          <w:szCs w:val="22"/>
        </w:rPr>
        <w:t xml:space="preserve">En este sentido, </w:t>
      </w:r>
      <w:r w:rsidR="00EB0A4B">
        <w:rPr>
          <w:rFonts w:ascii="Arial Narrow" w:hAnsi="Arial Narrow"/>
          <w:sz w:val="22"/>
          <w:szCs w:val="22"/>
        </w:rPr>
        <w:t>se prevé que en nuestro país continúe la buena dinámica del mercado interno, impulsada por el crecimiento del empleo formal, la expansión del crédito, el aumento del salario real, una mejora de la confianza de los consumidores y una mayor inversión, esperándose también que se registre un mayor dinamismo en las exportaciones no petroleras y en los servicios relacionados con el comercio exterior.</w:t>
      </w:r>
    </w:p>
    <w:p w:rsidR="00B83815" w:rsidRPr="00992D26" w:rsidRDefault="00B83815" w:rsidP="00B83815">
      <w:pPr>
        <w:pStyle w:val="Sangradetextonormal"/>
        <w:rPr>
          <w:rFonts w:ascii="Arial Narrow" w:hAnsi="Arial Narrow"/>
          <w:sz w:val="22"/>
          <w:szCs w:val="22"/>
        </w:rPr>
      </w:pPr>
    </w:p>
    <w:p w:rsidR="00B83815" w:rsidRPr="00992D26" w:rsidRDefault="00B83815" w:rsidP="00A87F7E">
      <w:pPr>
        <w:pStyle w:val="Sangradetextonormal"/>
        <w:spacing w:line="240" w:lineRule="auto"/>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2.1.1.1- Política Económica</w:t>
      </w:r>
    </w:p>
    <w:p w:rsidR="00B83815" w:rsidRPr="00992D26" w:rsidRDefault="00B83815" w:rsidP="00B83815">
      <w:pPr>
        <w:pStyle w:val="Sangradetextonormal"/>
        <w:spacing w:line="240" w:lineRule="exact"/>
        <w:ind w:firstLine="0"/>
        <w:jc w:val="left"/>
        <w:rPr>
          <w:rFonts w:ascii="Arial Narrow" w:hAnsi="Arial Narrow"/>
          <w:b/>
          <w:bCs/>
          <w:szCs w:val="28"/>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Objetivos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7A1347" w:rsidP="00B83815">
      <w:pPr>
        <w:pStyle w:val="Sangradetextonormal"/>
        <w:rPr>
          <w:rFonts w:ascii="Arial Narrow" w:hAnsi="Arial Narrow"/>
          <w:sz w:val="22"/>
          <w:szCs w:val="22"/>
        </w:rPr>
      </w:pPr>
      <w:r>
        <w:rPr>
          <w:rFonts w:ascii="Arial Narrow" w:hAnsi="Arial Narrow"/>
          <w:sz w:val="22"/>
          <w:szCs w:val="22"/>
        </w:rPr>
        <w:t xml:space="preserve">En los Criterios Generales de Política Económica para 2017 se subrayó que el Gobierno Federal ha actualizado su compromiso con la estabilidad económica mediante un manejo responsable de las finanzas </w:t>
      </w:r>
      <w:r>
        <w:rPr>
          <w:rFonts w:ascii="Arial Narrow" w:hAnsi="Arial Narrow"/>
          <w:sz w:val="22"/>
          <w:szCs w:val="22"/>
        </w:rPr>
        <w:lastRenderedPageBreak/>
        <w:t xml:space="preserve">públicas y un uso moderado del endeudamiento público, </w:t>
      </w:r>
      <w:r w:rsidR="00C90F1B">
        <w:rPr>
          <w:rFonts w:ascii="Arial Narrow" w:hAnsi="Arial Narrow"/>
          <w:sz w:val="22"/>
          <w:szCs w:val="22"/>
        </w:rPr>
        <w:t>para lo cual se ha</w:t>
      </w:r>
      <w:r>
        <w:rPr>
          <w:rFonts w:ascii="Arial Narrow" w:hAnsi="Arial Narrow"/>
          <w:sz w:val="22"/>
          <w:szCs w:val="22"/>
        </w:rPr>
        <w:t xml:space="preserve"> impulsado una trayectoria de consolidación fiscal</w:t>
      </w:r>
      <w:r w:rsidR="00C90F1B">
        <w:rPr>
          <w:rFonts w:ascii="Arial Narrow" w:hAnsi="Arial Narrow"/>
          <w:sz w:val="22"/>
          <w:szCs w:val="22"/>
        </w:rPr>
        <w:t>,</w:t>
      </w:r>
      <w:r>
        <w:rPr>
          <w:rFonts w:ascii="Arial Narrow" w:hAnsi="Arial Narrow"/>
          <w:sz w:val="22"/>
          <w:szCs w:val="22"/>
        </w:rPr>
        <w:t xml:space="preserve"> favoreciendo con ello la fortaleza de la econom</w:t>
      </w:r>
      <w:r w:rsidR="00C90F1B">
        <w:rPr>
          <w:rFonts w:ascii="Arial Narrow" w:hAnsi="Arial Narrow"/>
          <w:sz w:val="22"/>
          <w:szCs w:val="22"/>
        </w:rPr>
        <w:t>ía de nuestro país.</w:t>
      </w:r>
    </w:p>
    <w:p w:rsidR="00B83815" w:rsidRPr="00992D26" w:rsidRDefault="00B83815" w:rsidP="00B83815">
      <w:pPr>
        <w:pStyle w:val="Sangradetextonormal"/>
        <w:spacing w:line="240" w:lineRule="exact"/>
        <w:rPr>
          <w:rFonts w:ascii="Arial Narrow" w:hAnsi="Arial Narrow"/>
          <w:sz w:val="22"/>
          <w:szCs w:val="22"/>
        </w:rPr>
      </w:pPr>
    </w:p>
    <w:p w:rsidR="00B83815" w:rsidRDefault="00B83815" w:rsidP="00B83815">
      <w:pPr>
        <w:pStyle w:val="Sangradetextonormal"/>
        <w:rPr>
          <w:rFonts w:ascii="Arial Narrow" w:hAnsi="Arial Narrow"/>
          <w:sz w:val="22"/>
          <w:szCs w:val="22"/>
        </w:rPr>
      </w:pPr>
      <w:r w:rsidRPr="00992D26">
        <w:rPr>
          <w:rFonts w:ascii="Arial Narrow" w:hAnsi="Arial Narrow"/>
          <w:sz w:val="22"/>
          <w:szCs w:val="22"/>
        </w:rPr>
        <w:t>En este sentido, en la formulación del Paquete Económico correspo</w:t>
      </w:r>
      <w:r w:rsidR="0010271E">
        <w:rPr>
          <w:rFonts w:ascii="Arial Narrow" w:hAnsi="Arial Narrow"/>
          <w:sz w:val="22"/>
          <w:szCs w:val="22"/>
        </w:rPr>
        <w:t>ndiente al Ejercicio Fiscal 201</w:t>
      </w:r>
      <w:r w:rsidR="00C90F1B">
        <w:rPr>
          <w:rFonts w:ascii="Arial Narrow" w:hAnsi="Arial Narrow"/>
          <w:sz w:val="22"/>
          <w:szCs w:val="22"/>
        </w:rPr>
        <w:t>7 se refrendó dicho compromiso ante un entorno internacional adverso, señalando que las medidas presentadas permitirán continuar con el cambio estructural y contribuirán a seguir protegiendo la economía de las familias mexicanas.</w:t>
      </w:r>
    </w:p>
    <w:p w:rsidR="002C2B53" w:rsidRDefault="002C2B53" w:rsidP="00B83815">
      <w:pPr>
        <w:pStyle w:val="Sangradetextonormal"/>
        <w:rPr>
          <w:rFonts w:ascii="Arial Narrow" w:hAnsi="Arial Narrow"/>
          <w:sz w:val="22"/>
          <w:szCs w:val="22"/>
        </w:rPr>
      </w:pPr>
    </w:p>
    <w:p w:rsidR="00C304C4" w:rsidRPr="00992D26" w:rsidRDefault="00C304C4" w:rsidP="00B83815">
      <w:pPr>
        <w:pStyle w:val="Sangradetextonormal"/>
        <w:rPr>
          <w:rFonts w:ascii="Arial Narrow" w:hAnsi="Arial Narrow"/>
          <w:sz w:val="22"/>
          <w:szCs w:val="22"/>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Estrategias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3764A5" w:rsidP="00B83815">
      <w:pPr>
        <w:pStyle w:val="Sangradetextonormal"/>
        <w:rPr>
          <w:rFonts w:ascii="Arial Narrow" w:hAnsi="Arial Narrow"/>
          <w:sz w:val="22"/>
          <w:szCs w:val="22"/>
        </w:rPr>
      </w:pPr>
      <w:r>
        <w:rPr>
          <w:rFonts w:ascii="Arial Narrow" w:hAnsi="Arial Narrow"/>
          <w:sz w:val="22"/>
          <w:szCs w:val="22"/>
        </w:rPr>
        <w:t>En línea con lo mencionado en el apartado anterior, para 2017 la Secretaría de Hacienda y Crédito Público presentó una estrategia macroeconómica a efecto de preservar la estabilidad como política de Estado, enfatizando las acciones que permitan mitigar los riesgos del contexto internacional que tienen un impacto en las finanzas públicas.</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 xml:space="preserve">En </w:t>
      </w:r>
      <w:r w:rsidR="003764A5">
        <w:rPr>
          <w:rFonts w:ascii="Arial Narrow" w:hAnsi="Arial Narrow"/>
          <w:sz w:val="22"/>
          <w:szCs w:val="22"/>
        </w:rPr>
        <w:t>torn</w:t>
      </w:r>
      <w:r w:rsidR="00FC71D6">
        <w:rPr>
          <w:rFonts w:ascii="Arial Narrow" w:hAnsi="Arial Narrow"/>
          <w:sz w:val="22"/>
          <w:szCs w:val="22"/>
        </w:rPr>
        <w:t>o a ello, se establecieron</w:t>
      </w:r>
      <w:r w:rsidR="003764A5">
        <w:rPr>
          <w:rFonts w:ascii="Arial Narrow" w:hAnsi="Arial Narrow"/>
          <w:sz w:val="22"/>
          <w:szCs w:val="22"/>
        </w:rPr>
        <w:t xml:space="preserve"> tres medidas de responsabilidad hacendaria, consistentes en: 1</w:t>
      </w:r>
      <w:r w:rsidR="00AA7995">
        <w:rPr>
          <w:rFonts w:ascii="Arial Narrow" w:hAnsi="Arial Narrow"/>
          <w:sz w:val="22"/>
          <w:szCs w:val="22"/>
        </w:rPr>
        <w:t>)</w:t>
      </w:r>
      <w:r w:rsidR="003764A5">
        <w:rPr>
          <w:rFonts w:ascii="Arial Narrow" w:hAnsi="Arial Narrow"/>
          <w:sz w:val="22"/>
          <w:szCs w:val="22"/>
        </w:rPr>
        <w:t>.- Meta de los Requerimientos Financieros del Sector P</w:t>
      </w:r>
      <w:r w:rsidR="00AA7995">
        <w:rPr>
          <w:rFonts w:ascii="Arial Narrow" w:hAnsi="Arial Narrow"/>
          <w:sz w:val="22"/>
          <w:szCs w:val="22"/>
        </w:rPr>
        <w:t>úblico 2017 como un ancla fiscal adicional al balance presupuestario; 2).- Metas para las Empresas Productivas del Estado que les marca un techo de gasto de servicios personales y una meta de balance financiero, para garantizar un mejor desempeño de las mismas; y 3).- Límite del Gasto Corriente Estructural en el que se determina una tasa anual de crecimiento con el objeto de mejorar la calidad del gasto.</w:t>
      </w:r>
    </w:p>
    <w:p w:rsidR="00B83815" w:rsidRDefault="00B83815" w:rsidP="00B83815">
      <w:pPr>
        <w:pStyle w:val="Sangradetextonormal"/>
        <w:spacing w:line="240" w:lineRule="auto"/>
        <w:ind w:left="1281" w:firstLine="0"/>
        <w:rPr>
          <w:rFonts w:ascii="Arial Narrow" w:hAnsi="Arial Narrow"/>
          <w:sz w:val="25"/>
        </w:rPr>
      </w:pPr>
    </w:p>
    <w:p w:rsidR="00C304C4" w:rsidRPr="00992D26" w:rsidRDefault="00C304C4" w:rsidP="00B83815">
      <w:pPr>
        <w:pStyle w:val="Sangradetextonormal"/>
        <w:spacing w:line="240" w:lineRule="auto"/>
        <w:ind w:left="1281" w:firstLine="0"/>
        <w:rPr>
          <w:rFonts w:ascii="Arial Narrow" w:hAnsi="Arial Narrow"/>
          <w:sz w:val="25"/>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Metas</w:t>
      </w:r>
    </w:p>
    <w:p w:rsidR="00B83815" w:rsidRPr="00992D26" w:rsidRDefault="00B83815" w:rsidP="00B83815">
      <w:pPr>
        <w:pStyle w:val="Sangradetextonormal"/>
        <w:spacing w:line="240" w:lineRule="exact"/>
        <w:rPr>
          <w:rFonts w:ascii="Arial Narrow" w:hAnsi="Arial Narrow"/>
          <w:b/>
          <w:bCs/>
          <w:sz w:val="32"/>
          <w:szCs w:val="32"/>
        </w:rPr>
      </w:pPr>
    </w:p>
    <w:p w:rsidR="00B83815" w:rsidRDefault="00B83815" w:rsidP="00B83815">
      <w:pPr>
        <w:pStyle w:val="Sangradetextonormal"/>
        <w:rPr>
          <w:rFonts w:ascii="Arial Narrow" w:hAnsi="Arial Narrow"/>
          <w:sz w:val="22"/>
          <w:szCs w:val="22"/>
        </w:rPr>
      </w:pPr>
      <w:r w:rsidRPr="00992D26">
        <w:rPr>
          <w:rFonts w:ascii="Arial Narrow" w:hAnsi="Arial Narrow"/>
          <w:sz w:val="22"/>
          <w:szCs w:val="22"/>
        </w:rPr>
        <w:t xml:space="preserve">Al considerar </w:t>
      </w:r>
      <w:r w:rsidR="0090231B">
        <w:rPr>
          <w:rFonts w:ascii="Arial Narrow" w:hAnsi="Arial Narrow"/>
          <w:sz w:val="22"/>
          <w:szCs w:val="22"/>
        </w:rPr>
        <w:t>los factores externos y los efectos asociados a las Reformas Estructurales, se estimó que durante 2017 el valor real del PIB de México registrara un crecimiento anual de entre 2.0 y 3.0 por ciento.</w:t>
      </w:r>
      <w:r w:rsidRPr="00992D26">
        <w:rPr>
          <w:rFonts w:ascii="Arial Narrow" w:hAnsi="Arial Narrow"/>
          <w:sz w:val="22"/>
          <w:szCs w:val="22"/>
        </w:rPr>
        <w:t xml:space="preserve"> </w:t>
      </w:r>
    </w:p>
    <w:p w:rsidR="00AA7995" w:rsidRPr="00992D26" w:rsidRDefault="00AA7995" w:rsidP="00B83815">
      <w:pPr>
        <w:pStyle w:val="Sangradetextonormal"/>
        <w:rPr>
          <w:rFonts w:ascii="Arial Narrow" w:hAnsi="Arial Narrow"/>
          <w:sz w:val="22"/>
          <w:szCs w:val="22"/>
        </w:rPr>
      </w:pPr>
    </w:p>
    <w:p w:rsidR="00B83815" w:rsidRDefault="00B83815" w:rsidP="00B83815">
      <w:pPr>
        <w:pStyle w:val="Sangradetextonormal"/>
        <w:rPr>
          <w:rFonts w:ascii="Arial Narrow" w:hAnsi="Arial Narrow"/>
          <w:sz w:val="22"/>
          <w:szCs w:val="22"/>
        </w:rPr>
      </w:pPr>
      <w:r w:rsidRPr="00992D26">
        <w:rPr>
          <w:rFonts w:ascii="Arial Narrow" w:hAnsi="Arial Narrow"/>
          <w:sz w:val="22"/>
          <w:szCs w:val="22"/>
        </w:rPr>
        <w:lastRenderedPageBreak/>
        <w:t>Con respecto a la infl</w:t>
      </w:r>
      <w:r w:rsidR="00562FFC">
        <w:rPr>
          <w:rFonts w:ascii="Arial Narrow" w:hAnsi="Arial Narrow"/>
          <w:sz w:val="22"/>
          <w:szCs w:val="22"/>
        </w:rPr>
        <w:t xml:space="preserve">ación, </w:t>
      </w:r>
      <w:r w:rsidR="0090231B">
        <w:rPr>
          <w:rFonts w:ascii="Arial Narrow" w:hAnsi="Arial Narrow"/>
          <w:sz w:val="22"/>
          <w:szCs w:val="22"/>
        </w:rPr>
        <w:t>se subrayó que el escenario económico para 2017 es consistente con una inflación general que se ubique dentro del rango objetivo del Banco de México de 3 por ciento + / - uno por ciento.</w:t>
      </w:r>
    </w:p>
    <w:p w:rsidR="00EF7E06" w:rsidRPr="00992D26" w:rsidRDefault="00EF7E06" w:rsidP="00B83815">
      <w:pPr>
        <w:pStyle w:val="Sangradetextonormal"/>
        <w:rPr>
          <w:rFonts w:ascii="Arial Narrow" w:hAnsi="Arial Narrow"/>
          <w:sz w:val="22"/>
          <w:szCs w:val="22"/>
        </w:rPr>
      </w:pPr>
    </w:p>
    <w:p w:rsidR="00B83815" w:rsidRPr="00992D26" w:rsidRDefault="008516E2" w:rsidP="00346A3A">
      <w:pPr>
        <w:pStyle w:val="Sangradetextonormal"/>
        <w:rPr>
          <w:rFonts w:ascii="Arial Narrow" w:hAnsi="Arial Narrow"/>
          <w:sz w:val="22"/>
          <w:szCs w:val="22"/>
        </w:rPr>
      </w:pPr>
      <w:r>
        <w:rPr>
          <w:rFonts w:ascii="Arial Narrow" w:hAnsi="Arial Narrow"/>
          <w:sz w:val="22"/>
          <w:szCs w:val="22"/>
        </w:rPr>
        <w:t>En</w:t>
      </w:r>
      <w:r w:rsidR="0090231B">
        <w:rPr>
          <w:rFonts w:ascii="Arial Narrow" w:hAnsi="Arial Narrow"/>
          <w:sz w:val="22"/>
          <w:szCs w:val="22"/>
        </w:rPr>
        <w:t xml:space="preserve"> el Paquete Económico de 2017</w:t>
      </w:r>
      <w:r>
        <w:rPr>
          <w:rFonts w:ascii="Arial Narrow" w:hAnsi="Arial Narrow"/>
          <w:sz w:val="22"/>
          <w:szCs w:val="22"/>
        </w:rPr>
        <w:t xml:space="preserve"> </w:t>
      </w:r>
      <w:r w:rsidR="0090231B">
        <w:rPr>
          <w:rFonts w:ascii="Arial Narrow" w:hAnsi="Arial Narrow"/>
          <w:sz w:val="22"/>
          <w:szCs w:val="22"/>
        </w:rPr>
        <w:t>se propuso un superávit de 0.1 por ciento del PIB en la medida más estrecha de balance, lo que también implicaba un superávit primario por primera vez desde 2008. Al incorporar las Inversiones con Alto Impacto Social y Económico</w:t>
      </w:r>
      <w:r>
        <w:rPr>
          <w:rFonts w:ascii="Arial Narrow" w:hAnsi="Arial Narrow"/>
          <w:sz w:val="22"/>
          <w:szCs w:val="22"/>
        </w:rPr>
        <w:t xml:space="preserve"> </w:t>
      </w:r>
      <w:r w:rsidR="0090231B">
        <w:rPr>
          <w:rFonts w:ascii="Arial Narrow" w:hAnsi="Arial Narrow"/>
          <w:sz w:val="22"/>
          <w:szCs w:val="22"/>
        </w:rPr>
        <w:t xml:space="preserve">se estimó </w:t>
      </w:r>
      <w:r w:rsidR="00F0293B">
        <w:rPr>
          <w:rFonts w:ascii="Arial Narrow" w:hAnsi="Arial Narrow"/>
          <w:sz w:val="22"/>
          <w:szCs w:val="22"/>
        </w:rPr>
        <w:t>un déficit de 2.4 por ciento del PIB.</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2.1.1.2.- Evolución de las Variables Económicas</w:t>
      </w:r>
    </w:p>
    <w:p w:rsidR="00B83815" w:rsidRPr="00992D26" w:rsidRDefault="00B83815" w:rsidP="00B83815">
      <w:pPr>
        <w:pStyle w:val="Sangradetextonormal"/>
        <w:spacing w:line="240" w:lineRule="auto"/>
        <w:ind w:firstLine="0"/>
        <w:jc w:val="left"/>
        <w:rPr>
          <w:rFonts w:ascii="Arial Narrow" w:hAnsi="Arial Narrow"/>
          <w:b/>
          <w:bCs/>
          <w:szCs w:val="28"/>
        </w:rPr>
      </w:pPr>
      <w:r w:rsidRPr="00992D26">
        <w:rPr>
          <w:rFonts w:ascii="Arial Narrow" w:hAnsi="Arial Narrow"/>
          <w:b/>
          <w:bCs/>
          <w:szCs w:val="28"/>
        </w:rPr>
        <w:tab/>
      </w: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t>Producto Interno Bruto (PIB)</w:t>
      </w:r>
    </w:p>
    <w:p w:rsidR="00B83815" w:rsidRPr="00992D26" w:rsidRDefault="00B83815" w:rsidP="00A91C79">
      <w:pPr>
        <w:pStyle w:val="Sangradetextonormal"/>
        <w:spacing w:line="240" w:lineRule="auto"/>
        <w:ind w:left="539" w:firstLine="0"/>
        <w:jc w:val="left"/>
        <w:rPr>
          <w:rFonts w:ascii="Arial Narrow" w:hAnsi="Arial Narrow"/>
          <w:b/>
          <w:bCs/>
          <w:sz w:val="32"/>
          <w:szCs w:val="32"/>
        </w:rPr>
      </w:pPr>
    </w:p>
    <w:p w:rsidR="00B83815" w:rsidRPr="00992D26" w:rsidRDefault="00B83815" w:rsidP="00B83815">
      <w:pPr>
        <w:pStyle w:val="Sangradetextonormal"/>
        <w:rPr>
          <w:rFonts w:ascii="Arial Narrow" w:hAnsi="Arial Narrow"/>
          <w:bCs/>
          <w:sz w:val="22"/>
          <w:szCs w:val="22"/>
        </w:rPr>
      </w:pPr>
      <w:r w:rsidRPr="00992D26">
        <w:rPr>
          <w:rFonts w:ascii="Arial Narrow" w:hAnsi="Arial Narrow"/>
          <w:bCs/>
          <w:sz w:val="22"/>
          <w:szCs w:val="22"/>
        </w:rPr>
        <w:t>Cabe señalar que la info</w:t>
      </w:r>
      <w:r w:rsidR="00A91C79">
        <w:rPr>
          <w:rFonts w:ascii="Arial Narrow" w:hAnsi="Arial Narrow"/>
          <w:bCs/>
          <w:sz w:val="22"/>
          <w:szCs w:val="22"/>
        </w:rPr>
        <w:t xml:space="preserve">rmación relacionada con el PIB </w:t>
      </w:r>
      <w:r w:rsidRPr="00992D26">
        <w:rPr>
          <w:rFonts w:ascii="Arial Narrow" w:hAnsi="Arial Narrow"/>
          <w:bCs/>
          <w:sz w:val="22"/>
          <w:szCs w:val="22"/>
        </w:rPr>
        <w:t>(Producto Interno Bruto) ofrece en el corto plazo, una visión oportuna, completa y coherente de la evolución de las actividades económicas del país, para apoyar la toma de decisiones.</w:t>
      </w:r>
    </w:p>
    <w:p w:rsidR="00B83815" w:rsidRPr="00992D26" w:rsidRDefault="00B83815" w:rsidP="00B83815">
      <w:pPr>
        <w:pStyle w:val="Sangradetextonormal"/>
        <w:rPr>
          <w:rFonts w:ascii="Arial Narrow" w:hAnsi="Arial Narrow"/>
          <w:bCs/>
          <w:sz w:val="22"/>
          <w:szCs w:val="22"/>
        </w:rPr>
      </w:pPr>
    </w:p>
    <w:p w:rsidR="00B83815" w:rsidRPr="00992D26" w:rsidRDefault="00B83815" w:rsidP="00B83815">
      <w:pPr>
        <w:pStyle w:val="Sangradetextonormal"/>
        <w:ind w:firstLine="720"/>
        <w:rPr>
          <w:rFonts w:ascii="Arial Narrow" w:hAnsi="Arial Narrow"/>
          <w:sz w:val="22"/>
          <w:szCs w:val="22"/>
        </w:rPr>
      </w:pPr>
      <w:r w:rsidRPr="00992D26">
        <w:rPr>
          <w:rFonts w:ascii="Arial Narrow" w:hAnsi="Arial Narrow"/>
          <w:sz w:val="22"/>
          <w:szCs w:val="22"/>
        </w:rPr>
        <w:t>Al respecto, se informa q</w:t>
      </w:r>
      <w:r w:rsidR="009769C7">
        <w:rPr>
          <w:rFonts w:ascii="Arial Narrow" w:hAnsi="Arial Narrow"/>
          <w:sz w:val="22"/>
          <w:szCs w:val="22"/>
        </w:rPr>
        <w:t>u</w:t>
      </w:r>
      <w:r w:rsidR="00EF7E06">
        <w:rPr>
          <w:rFonts w:ascii="Arial Narrow" w:hAnsi="Arial Narrow"/>
          <w:sz w:val="22"/>
          <w:szCs w:val="22"/>
        </w:rPr>
        <w:t>e con datos desestacionalizados</w:t>
      </w:r>
      <w:r w:rsidRPr="00992D26">
        <w:rPr>
          <w:rFonts w:ascii="Arial Narrow" w:hAnsi="Arial Narrow"/>
          <w:sz w:val="22"/>
          <w:szCs w:val="22"/>
        </w:rPr>
        <w:t>, dur</w:t>
      </w:r>
      <w:r w:rsidR="00EF7E06">
        <w:rPr>
          <w:rFonts w:ascii="Arial Narrow" w:hAnsi="Arial Narrow"/>
          <w:sz w:val="22"/>
          <w:szCs w:val="22"/>
        </w:rPr>
        <w:t>ante el cuarto trimestre de 2017</w:t>
      </w:r>
      <w:r w:rsidRPr="00992D26">
        <w:rPr>
          <w:rFonts w:ascii="Arial Narrow" w:hAnsi="Arial Narrow"/>
          <w:sz w:val="22"/>
          <w:szCs w:val="22"/>
        </w:rPr>
        <w:t xml:space="preserve"> el PIB (Producto Intern</w:t>
      </w:r>
      <w:r w:rsidR="00EF7E06">
        <w:rPr>
          <w:rFonts w:ascii="Arial Narrow" w:hAnsi="Arial Narrow"/>
          <w:sz w:val="22"/>
          <w:szCs w:val="22"/>
        </w:rPr>
        <w:t>o Bruto) registró un crecimiento de 0.8</w:t>
      </w:r>
      <w:r w:rsidRPr="00992D26">
        <w:rPr>
          <w:rFonts w:ascii="Arial Narrow" w:hAnsi="Arial Narrow"/>
          <w:sz w:val="22"/>
          <w:szCs w:val="22"/>
        </w:rPr>
        <w:t xml:space="preserve">% respecto al trimestre inmediato anterior. </w:t>
      </w:r>
    </w:p>
    <w:p w:rsidR="00B83815" w:rsidRPr="00992D26" w:rsidRDefault="00B83815" w:rsidP="00B83815">
      <w:pPr>
        <w:pStyle w:val="Sangradetextonormal"/>
        <w:ind w:firstLine="720"/>
        <w:rPr>
          <w:rFonts w:ascii="Arial Narrow" w:hAnsi="Arial Narrow"/>
          <w:sz w:val="22"/>
          <w:szCs w:val="22"/>
        </w:rPr>
      </w:pPr>
    </w:p>
    <w:p w:rsidR="00B83815" w:rsidRPr="00992D26" w:rsidRDefault="00EF7E06" w:rsidP="00B83815">
      <w:pPr>
        <w:pStyle w:val="Sangradetextonormal"/>
        <w:ind w:firstLine="720"/>
        <w:rPr>
          <w:rFonts w:ascii="Arial Narrow" w:hAnsi="Arial Narrow"/>
          <w:sz w:val="22"/>
          <w:szCs w:val="22"/>
        </w:rPr>
      </w:pPr>
      <w:r>
        <w:rPr>
          <w:rFonts w:ascii="Arial Narrow" w:hAnsi="Arial Narrow"/>
          <w:sz w:val="22"/>
          <w:szCs w:val="22"/>
        </w:rPr>
        <w:t xml:space="preserve">Por componentes, </w:t>
      </w:r>
      <w:r w:rsidRPr="00EF7E06">
        <w:rPr>
          <w:rFonts w:ascii="Arial Narrow" w:hAnsi="Arial Narrow"/>
          <w:sz w:val="22"/>
          <w:szCs w:val="22"/>
        </w:rPr>
        <w:t>el PIB de las Actividades Primarias avanzó 2.1% y el</w:t>
      </w:r>
      <w:r>
        <w:rPr>
          <w:rFonts w:ascii="Arial Narrow" w:hAnsi="Arial Narrow"/>
          <w:sz w:val="22"/>
          <w:szCs w:val="22"/>
        </w:rPr>
        <w:t xml:space="preserve"> de las Terciarias 1%; mientras </w:t>
      </w:r>
      <w:r w:rsidRPr="00EF7E06">
        <w:rPr>
          <w:rFonts w:ascii="Arial Narrow" w:hAnsi="Arial Narrow"/>
          <w:sz w:val="22"/>
          <w:szCs w:val="22"/>
        </w:rPr>
        <w:t>que el de las Activ</w:t>
      </w:r>
      <w:r>
        <w:rPr>
          <w:rFonts w:ascii="Arial Narrow" w:hAnsi="Arial Narrow"/>
          <w:sz w:val="22"/>
          <w:szCs w:val="22"/>
        </w:rPr>
        <w:t xml:space="preserve">idades Secundarias disminuyó </w:t>
      </w:r>
      <w:r w:rsidRPr="00EF7E06">
        <w:rPr>
          <w:rFonts w:ascii="Arial Narrow" w:hAnsi="Arial Narrow"/>
          <w:sz w:val="22"/>
          <w:szCs w:val="22"/>
        </w:rPr>
        <w:t>0.1% real frente al trimestre previo.</w:t>
      </w:r>
    </w:p>
    <w:p w:rsidR="00B83815" w:rsidRPr="00992D26" w:rsidRDefault="00B83815" w:rsidP="00B83815">
      <w:pPr>
        <w:pStyle w:val="Sangradetextonormal"/>
        <w:ind w:left="540" w:firstLine="0"/>
        <w:jc w:val="left"/>
        <w:rPr>
          <w:rFonts w:ascii="Arial Narrow" w:hAnsi="Arial Narrow"/>
          <w:b/>
          <w:bCs/>
          <w:sz w:val="22"/>
          <w:szCs w:val="22"/>
        </w:rPr>
      </w:pPr>
    </w:p>
    <w:p w:rsidR="00B83815" w:rsidRPr="00992D26" w:rsidRDefault="00B83815" w:rsidP="00B83815">
      <w:pPr>
        <w:pStyle w:val="Sangradetextonormal"/>
        <w:ind w:firstLine="720"/>
        <w:rPr>
          <w:rFonts w:ascii="Arial Narrow" w:hAnsi="Arial Narrow"/>
          <w:sz w:val="22"/>
          <w:szCs w:val="22"/>
        </w:rPr>
      </w:pPr>
      <w:r w:rsidRPr="00992D26">
        <w:rPr>
          <w:rFonts w:ascii="Arial Narrow" w:hAnsi="Arial Narrow"/>
          <w:sz w:val="22"/>
          <w:szCs w:val="22"/>
        </w:rPr>
        <w:t xml:space="preserve">En su comparación anual, </w:t>
      </w:r>
      <w:r w:rsidR="00EF7E06" w:rsidRPr="00EF7E06">
        <w:rPr>
          <w:rFonts w:ascii="Arial Narrow" w:hAnsi="Arial Narrow"/>
          <w:sz w:val="22"/>
          <w:szCs w:val="22"/>
        </w:rPr>
        <w:t xml:space="preserve">el Producto Interno Bruto registró un incremento real de 1.5% en el periodo octubre-diciembre de 2017 con relación a igual lapso de 2016. Por grandes actividades económicas, el PIB de las Actividades Primarias se elevó 4.1% y el de las Terciarias 2.3%; en tanto que el </w:t>
      </w:r>
      <w:r w:rsidR="00EF7E06">
        <w:rPr>
          <w:rFonts w:ascii="Arial Narrow" w:hAnsi="Arial Narrow"/>
          <w:sz w:val="22"/>
          <w:szCs w:val="22"/>
        </w:rPr>
        <w:t xml:space="preserve">de las Secundarias descendió </w:t>
      </w:r>
      <w:r w:rsidR="00EF7E06" w:rsidRPr="00EF7E06">
        <w:rPr>
          <w:rFonts w:ascii="Arial Narrow" w:hAnsi="Arial Narrow"/>
          <w:sz w:val="22"/>
          <w:szCs w:val="22"/>
        </w:rPr>
        <w:t>1% respecto al cuarto trimestre de un año antes.</w:t>
      </w:r>
    </w:p>
    <w:p w:rsidR="00B83815" w:rsidRDefault="00B83815" w:rsidP="00B83815">
      <w:pPr>
        <w:pStyle w:val="Sangradetextonormal"/>
        <w:ind w:firstLine="720"/>
        <w:rPr>
          <w:rFonts w:ascii="Arial Narrow" w:hAnsi="Arial Narrow"/>
          <w:sz w:val="25"/>
        </w:rPr>
      </w:pPr>
    </w:p>
    <w:p w:rsidR="002E0A33" w:rsidRDefault="002E0A33" w:rsidP="00B83815">
      <w:pPr>
        <w:pStyle w:val="Sangradetextonormal"/>
        <w:ind w:firstLine="720"/>
        <w:rPr>
          <w:rFonts w:ascii="Arial Narrow" w:hAnsi="Arial Narrow"/>
          <w:sz w:val="25"/>
        </w:rPr>
      </w:pP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lastRenderedPageBreak/>
        <w:t>Empleo</w:t>
      </w:r>
    </w:p>
    <w:p w:rsidR="00B83815" w:rsidRPr="00992D26" w:rsidRDefault="00B83815" w:rsidP="00B83815">
      <w:pPr>
        <w:pStyle w:val="Sangradetextonormal"/>
        <w:ind w:firstLine="876"/>
        <w:rPr>
          <w:rFonts w:ascii="Arial Narrow" w:hAnsi="Arial Narrow"/>
          <w:sz w:val="25"/>
        </w:rPr>
      </w:pPr>
    </w:p>
    <w:p w:rsidR="00B83815" w:rsidRPr="00992D26" w:rsidRDefault="009769C7" w:rsidP="00B83815">
      <w:pPr>
        <w:pStyle w:val="Sangradetextonormal"/>
        <w:ind w:firstLine="876"/>
        <w:rPr>
          <w:rFonts w:ascii="Arial Narrow" w:hAnsi="Arial Narrow"/>
          <w:sz w:val="22"/>
          <w:szCs w:val="22"/>
        </w:rPr>
      </w:pPr>
      <w:r>
        <w:rPr>
          <w:rFonts w:ascii="Arial Narrow" w:hAnsi="Arial Narrow"/>
          <w:sz w:val="22"/>
          <w:szCs w:val="22"/>
        </w:rPr>
        <w:t>Al 31 de diciembre de 2</w:t>
      </w:r>
      <w:r w:rsidR="005075E4">
        <w:rPr>
          <w:rFonts w:ascii="Arial Narrow" w:hAnsi="Arial Narrow"/>
          <w:sz w:val="22"/>
          <w:szCs w:val="22"/>
        </w:rPr>
        <w:t>017</w:t>
      </w:r>
      <w:r w:rsidR="00B83815" w:rsidRPr="00992D26">
        <w:rPr>
          <w:rFonts w:ascii="Arial Narrow" w:hAnsi="Arial Narrow"/>
          <w:sz w:val="22"/>
          <w:szCs w:val="22"/>
        </w:rPr>
        <w:t xml:space="preserve">, el número de trabajadores afiliados al </w:t>
      </w:r>
      <w:r w:rsidR="00B24C35">
        <w:rPr>
          <w:rFonts w:ascii="Arial Narrow" w:hAnsi="Arial Narrow"/>
          <w:sz w:val="22"/>
          <w:szCs w:val="22"/>
        </w:rPr>
        <w:t>Instituto Mexicano del Seguro Social (</w:t>
      </w:r>
      <w:r w:rsidR="00B83815" w:rsidRPr="00992D26">
        <w:rPr>
          <w:rFonts w:ascii="Arial Narrow" w:hAnsi="Arial Narrow"/>
          <w:sz w:val="22"/>
          <w:szCs w:val="22"/>
        </w:rPr>
        <w:t>IMSS</w:t>
      </w:r>
      <w:r w:rsidR="005075E4">
        <w:rPr>
          <w:rFonts w:ascii="Arial Narrow" w:hAnsi="Arial Narrow"/>
          <w:sz w:val="22"/>
          <w:szCs w:val="22"/>
        </w:rPr>
        <w:t xml:space="preserve">) fue de 19 millones 418 mil personas, </w:t>
      </w:r>
      <w:r w:rsidR="00B83815" w:rsidRPr="00992D26">
        <w:rPr>
          <w:rFonts w:ascii="Arial Narrow" w:hAnsi="Arial Narrow"/>
          <w:sz w:val="22"/>
          <w:szCs w:val="22"/>
        </w:rPr>
        <w:t>que imp</w:t>
      </w:r>
      <w:r w:rsidR="005075E4">
        <w:rPr>
          <w:rFonts w:ascii="Arial Narrow" w:hAnsi="Arial Narrow"/>
          <w:sz w:val="22"/>
          <w:szCs w:val="22"/>
        </w:rPr>
        <w:t>licó un aumento</w:t>
      </w:r>
      <w:r w:rsidR="00B24C35">
        <w:rPr>
          <w:rFonts w:ascii="Arial Narrow" w:hAnsi="Arial Narrow"/>
          <w:sz w:val="22"/>
          <w:szCs w:val="22"/>
        </w:rPr>
        <w:t xml:space="preserve"> anual de</w:t>
      </w:r>
      <w:r w:rsidR="005075E4">
        <w:rPr>
          <w:rFonts w:ascii="Arial Narrow" w:hAnsi="Arial Narrow"/>
          <w:sz w:val="22"/>
          <w:szCs w:val="22"/>
        </w:rPr>
        <w:t xml:space="preserve"> más 802 mil plazas (4.3</w:t>
      </w:r>
      <w:r w:rsidR="00B83815" w:rsidRPr="00992D26">
        <w:rPr>
          <w:rFonts w:ascii="Arial Narrow" w:hAnsi="Arial Narrow"/>
          <w:sz w:val="22"/>
          <w:szCs w:val="22"/>
        </w:rPr>
        <w:t xml:space="preserve"> por ciento). Por tipo de contrato, la afiliación permanente s</w:t>
      </w:r>
      <w:r w:rsidR="00B24C35">
        <w:rPr>
          <w:rFonts w:ascii="Arial Narrow" w:hAnsi="Arial Narrow"/>
          <w:sz w:val="22"/>
          <w:szCs w:val="22"/>
        </w:rPr>
        <w:t>e increment</w:t>
      </w:r>
      <w:r w:rsidR="005075E4">
        <w:rPr>
          <w:rFonts w:ascii="Arial Narrow" w:hAnsi="Arial Narrow"/>
          <w:sz w:val="22"/>
          <w:szCs w:val="22"/>
        </w:rPr>
        <w:t>ó en 645 mil trabajadores (80.4</w:t>
      </w:r>
      <w:r w:rsidR="00B83815" w:rsidRPr="00992D26">
        <w:rPr>
          <w:rFonts w:ascii="Arial Narrow" w:hAnsi="Arial Narrow"/>
          <w:sz w:val="22"/>
          <w:szCs w:val="22"/>
        </w:rPr>
        <w:t xml:space="preserve"> por ciento del total) y la a</w:t>
      </w:r>
      <w:r w:rsidR="005075E4">
        <w:rPr>
          <w:rFonts w:ascii="Arial Narrow" w:hAnsi="Arial Narrow"/>
          <w:sz w:val="22"/>
          <w:szCs w:val="22"/>
        </w:rPr>
        <w:t>filiación eventual lo hizo en 157 mil personas (19.6</w:t>
      </w:r>
      <w:r w:rsidR="00B83815" w:rsidRPr="00992D26">
        <w:rPr>
          <w:rFonts w:ascii="Arial Narrow" w:hAnsi="Arial Narrow"/>
          <w:sz w:val="22"/>
          <w:szCs w:val="22"/>
        </w:rPr>
        <w:t xml:space="preserve"> por ciento del total).</w:t>
      </w:r>
    </w:p>
    <w:p w:rsidR="00B83815" w:rsidRPr="00992D26" w:rsidRDefault="00B83815" w:rsidP="00B83815">
      <w:pPr>
        <w:pStyle w:val="Sangradetextonormal"/>
        <w:ind w:firstLine="876"/>
        <w:rPr>
          <w:rFonts w:ascii="Arial Narrow" w:hAnsi="Arial Narrow"/>
          <w:sz w:val="22"/>
          <w:szCs w:val="22"/>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Dur</w:t>
      </w:r>
      <w:r w:rsidR="005075E4">
        <w:rPr>
          <w:rFonts w:ascii="Arial Narrow" w:hAnsi="Arial Narrow"/>
          <w:sz w:val="22"/>
          <w:szCs w:val="22"/>
        </w:rPr>
        <w:t>ante el cuarto trimestre de 2017</w:t>
      </w:r>
      <w:r w:rsidRPr="00992D26">
        <w:rPr>
          <w:rFonts w:ascii="Arial Narrow" w:hAnsi="Arial Narrow"/>
          <w:sz w:val="22"/>
          <w:szCs w:val="22"/>
        </w:rPr>
        <w:t xml:space="preserve"> la tasa de des</w:t>
      </w:r>
      <w:r w:rsidR="00B24C35">
        <w:rPr>
          <w:rFonts w:ascii="Arial Narrow" w:hAnsi="Arial Narrow"/>
          <w:sz w:val="22"/>
          <w:szCs w:val="22"/>
        </w:rPr>
        <w:t>oc</w:t>
      </w:r>
      <w:r w:rsidR="005075E4">
        <w:rPr>
          <w:rFonts w:ascii="Arial Narrow" w:hAnsi="Arial Narrow"/>
          <w:sz w:val="22"/>
          <w:szCs w:val="22"/>
        </w:rPr>
        <w:t>upación nacional se ubicó en 3.3</w:t>
      </w:r>
      <w:r w:rsidRPr="00992D26">
        <w:rPr>
          <w:rFonts w:ascii="Arial Narrow" w:hAnsi="Arial Narrow"/>
          <w:sz w:val="22"/>
          <w:szCs w:val="22"/>
        </w:rPr>
        <w:t xml:space="preserve"> por ciento de la PEA (Población Económicamente Activa), tasa que represen</w:t>
      </w:r>
      <w:r w:rsidR="005075E4">
        <w:rPr>
          <w:rFonts w:ascii="Arial Narrow" w:hAnsi="Arial Narrow"/>
          <w:sz w:val="22"/>
          <w:szCs w:val="22"/>
        </w:rPr>
        <w:t>ta una disminución anual de 0.2</w:t>
      </w:r>
      <w:r w:rsidRPr="00992D26">
        <w:rPr>
          <w:rFonts w:ascii="Arial Narrow" w:hAnsi="Arial Narrow"/>
          <w:sz w:val="22"/>
          <w:szCs w:val="22"/>
        </w:rPr>
        <w:t xml:space="preserve"> puntos porcentuales.</w:t>
      </w:r>
    </w:p>
    <w:p w:rsidR="00B83815" w:rsidRPr="00992D26" w:rsidRDefault="00B83815" w:rsidP="00B83815">
      <w:pPr>
        <w:pStyle w:val="Sangradetextonormal"/>
        <w:ind w:firstLine="876"/>
        <w:rPr>
          <w:rFonts w:ascii="Arial Narrow" w:hAnsi="Arial Narrow"/>
          <w:sz w:val="22"/>
          <w:szCs w:val="22"/>
          <w:highlight w:val="yellow"/>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Por su parte, dur</w:t>
      </w:r>
      <w:r w:rsidR="005075E4">
        <w:rPr>
          <w:rFonts w:ascii="Arial Narrow" w:hAnsi="Arial Narrow"/>
          <w:sz w:val="22"/>
          <w:szCs w:val="22"/>
        </w:rPr>
        <w:t>ante el cuarto trimestre de 2017</w:t>
      </w:r>
      <w:r w:rsidRPr="00992D26">
        <w:rPr>
          <w:rFonts w:ascii="Arial Narrow" w:hAnsi="Arial Narrow"/>
          <w:sz w:val="22"/>
          <w:szCs w:val="22"/>
        </w:rPr>
        <w:t>, la tasa de desocupación en las principal</w:t>
      </w:r>
      <w:r w:rsidR="005075E4">
        <w:rPr>
          <w:rFonts w:ascii="Arial Narrow" w:hAnsi="Arial Narrow"/>
          <w:sz w:val="22"/>
          <w:szCs w:val="22"/>
        </w:rPr>
        <w:t>es áreas urbanas se ubicó en 3.9 por ciento de la PEA, 0.4 puntos porcentuales menor que la observada en el mismo período del año anterior.</w:t>
      </w:r>
    </w:p>
    <w:p w:rsidR="00B83815" w:rsidRPr="00992D26" w:rsidRDefault="00B83815" w:rsidP="00B83815">
      <w:pPr>
        <w:pStyle w:val="Sangradetextonormal"/>
        <w:ind w:firstLine="876"/>
        <w:rPr>
          <w:rFonts w:ascii="Arial Narrow" w:hAnsi="Arial Narrow"/>
          <w:sz w:val="22"/>
          <w:szCs w:val="22"/>
        </w:rPr>
      </w:pPr>
    </w:p>
    <w:p w:rsidR="00B83815" w:rsidRPr="00937681"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37681">
        <w:rPr>
          <w:rFonts w:ascii="Arial Narrow" w:hAnsi="Arial Narrow"/>
          <w:b/>
          <w:bCs/>
          <w:szCs w:val="28"/>
        </w:rPr>
        <w:t>Inflación</w:t>
      </w:r>
    </w:p>
    <w:p w:rsidR="00B83815" w:rsidRDefault="00B83815" w:rsidP="00B83815">
      <w:pPr>
        <w:pStyle w:val="Sangradetextonormal"/>
        <w:spacing w:line="240" w:lineRule="auto"/>
        <w:ind w:left="540" w:firstLine="0"/>
        <w:jc w:val="left"/>
        <w:rPr>
          <w:rFonts w:ascii="Arial Narrow" w:hAnsi="Arial Narrow"/>
          <w:b/>
          <w:bCs/>
          <w:sz w:val="32"/>
          <w:szCs w:val="32"/>
        </w:rPr>
      </w:pPr>
    </w:p>
    <w:p w:rsidR="00A91C79" w:rsidRPr="00937681" w:rsidRDefault="00A91C79" w:rsidP="00A91C79">
      <w:pPr>
        <w:pStyle w:val="Sangradetextonormal"/>
        <w:spacing w:line="120" w:lineRule="auto"/>
        <w:ind w:left="539" w:firstLine="0"/>
        <w:jc w:val="left"/>
        <w:rPr>
          <w:rFonts w:ascii="Arial Narrow" w:hAnsi="Arial Narrow"/>
          <w:b/>
          <w:bCs/>
          <w:sz w:val="32"/>
          <w:szCs w:val="32"/>
        </w:rPr>
      </w:pPr>
    </w:p>
    <w:p w:rsidR="00B83815" w:rsidRPr="00937681" w:rsidRDefault="00B83815" w:rsidP="00B83815">
      <w:pPr>
        <w:pStyle w:val="Sangradetextonormal"/>
        <w:ind w:firstLine="876"/>
        <w:rPr>
          <w:rFonts w:ascii="Arial Narrow" w:hAnsi="Arial Narrow"/>
          <w:sz w:val="22"/>
          <w:szCs w:val="22"/>
        </w:rPr>
      </w:pPr>
      <w:r w:rsidRPr="00937681">
        <w:rPr>
          <w:rFonts w:ascii="Arial Narrow" w:hAnsi="Arial Narrow"/>
          <w:sz w:val="22"/>
          <w:szCs w:val="22"/>
        </w:rPr>
        <w:t xml:space="preserve">El Banco de México </w:t>
      </w:r>
      <w:r w:rsidR="00851AEE">
        <w:rPr>
          <w:rFonts w:ascii="Arial Narrow" w:hAnsi="Arial Narrow"/>
          <w:sz w:val="22"/>
          <w:szCs w:val="22"/>
        </w:rPr>
        <w:t xml:space="preserve">informa que en 2017 </w:t>
      </w:r>
      <w:r w:rsidR="00851AEE" w:rsidRPr="00851AEE">
        <w:rPr>
          <w:rFonts w:ascii="Arial Narrow" w:hAnsi="Arial Narrow"/>
          <w:sz w:val="22"/>
          <w:szCs w:val="22"/>
        </w:rPr>
        <w:t xml:space="preserve">la inflación estuvo influida de manera adversa por una serie de choques significativos, tanto externos como internos, que llevaron a que este indicador alcanzara al cierre del año niveles que no se habían registrado </w:t>
      </w:r>
      <w:r w:rsidR="00851AEE">
        <w:rPr>
          <w:rFonts w:ascii="Arial Narrow" w:hAnsi="Arial Narrow"/>
          <w:sz w:val="22"/>
          <w:szCs w:val="22"/>
        </w:rPr>
        <w:t>desde el año 2001, mismos que</w:t>
      </w:r>
      <w:r w:rsidR="00851AEE" w:rsidRPr="00851AEE">
        <w:rPr>
          <w:rFonts w:ascii="Arial Narrow" w:hAnsi="Arial Narrow"/>
          <w:sz w:val="22"/>
          <w:szCs w:val="22"/>
        </w:rPr>
        <w:t xml:space="preserve"> se dieron en un entorno en el que, dadas las condiciones cíclicas de la economía, se podría dificultar su asimilación.</w:t>
      </w:r>
    </w:p>
    <w:p w:rsidR="00B83815" w:rsidRPr="00937681" w:rsidRDefault="00B83815" w:rsidP="00B83815">
      <w:pPr>
        <w:pStyle w:val="Sangradetextonormal"/>
        <w:ind w:firstLine="876"/>
        <w:rPr>
          <w:rFonts w:ascii="Arial Narrow" w:hAnsi="Arial Narrow"/>
          <w:sz w:val="22"/>
          <w:szCs w:val="22"/>
        </w:rPr>
      </w:pPr>
    </w:p>
    <w:p w:rsidR="00B83815" w:rsidRPr="00937681" w:rsidRDefault="00682EF4" w:rsidP="00B83815">
      <w:pPr>
        <w:pStyle w:val="Sangradetextonormal"/>
        <w:ind w:firstLine="876"/>
        <w:rPr>
          <w:rFonts w:ascii="Arial Narrow" w:hAnsi="Arial Narrow"/>
          <w:sz w:val="22"/>
          <w:szCs w:val="22"/>
        </w:rPr>
      </w:pPr>
      <w:r>
        <w:rPr>
          <w:rFonts w:ascii="Arial Narrow" w:hAnsi="Arial Narrow"/>
          <w:sz w:val="22"/>
          <w:szCs w:val="22"/>
        </w:rPr>
        <w:t>Al respecto</w:t>
      </w:r>
      <w:r w:rsidR="00B83815" w:rsidRPr="00937681">
        <w:rPr>
          <w:rFonts w:ascii="Arial Narrow" w:hAnsi="Arial Narrow"/>
          <w:sz w:val="22"/>
          <w:szCs w:val="22"/>
        </w:rPr>
        <w:t>, dicho Instituto Central s</w:t>
      </w:r>
      <w:r>
        <w:rPr>
          <w:rFonts w:ascii="Arial Narrow" w:hAnsi="Arial Narrow"/>
          <w:sz w:val="22"/>
          <w:szCs w:val="22"/>
        </w:rPr>
        <w:t xml:space="preserve">ubraya que </w:t>
      </w:r>
      <w:r w:rsidR="00851AEE" w:rsidRPr="00851AEE">
        <w:rPr>
          <w:rFonts w:ascii="Arial Narrow" w:hAnsi="Arial Narrow"/>
          <w:sz w:val="22"/>
          <w:szCs w:val="22"/>
        </w:rPr>
        <w:t>la inflación fue afectada por la depreciación de la moneda nacional y el aumento en su volatilidad, como resultado, en buena medida, de la incertidumbre respecto a la postura que tendría el nuevo gobierno de los Estados Unidos</w:t>
      </w:r>
      <w:r w:rsidR="00851AEE">
        <w:rPr>
          <w:rFonts w:ascii="Arial Narrow" w:hAnsi="Arial Narrow"/>
          <w:sz w:val="22"/>
          <w:szCs w:val="22"/>
        </w:rPr>
        <w:t xml:space="preserve"> de América</w:t>
      </w:r>
      <w:r w:rsidR="00851AEE" w:rsidRPr="00851AEE">
        <w:rPr>
          <w:rFonts w:ascii="Arial Narrow" w:hAnsi="Arial Narrow"/>
          <w:sz w:val="22"/>
          <w:szCs w:val="22"/>
        </w:rPr>
        <w:t xml:space="preserve"> en la relación bilateral con nuestro país, así como por los aumentos en los precios de algunos energéticos derivados del proceso de su liberalización, como fue el caso de las gasolinas y el del gas L.P.</w:t>
      </w:r>
    </w:p>
    <w:p w:rsidR="00B83815" w:rsidRPr="00937681" w:rsidRDefault="00851AEE" w:rsidP="00B83815">
      <w:pPr>
        <w:pStyle w:val="Sangradetextonormal"/>
        <w:ind w:firstLine="876"/>
        <w:rPr>
          <w:rFonts w:ascii="Arial Narrow" w:hAnsi="Arial Narrow"/>
          <w:sz w:val="22"/>
          <w:szCs w:val="22"/>
        </w:rPr>
      </w:pPr>
      <w:r>
        <w:rPr>
          <w:rFonts w:ascii="Arial Narrow" w:hAnsi="Arial Narrow"/>
          <w:sz w:val="22"/>
          <w:szCs w:val="22"/>
        </w:rPr>
        <w:lastRenderedPageBreak/>
        <w:t>Así mismo, se reportó que</w:t>
      </w:r>
      <w:r w:rsidR="00682EF4">
        <w:rPr>
          <w:rFonts w:ascii="Arial Narrow" w:hAnsi="Arial Narrow"/>
          <w:sz w:val="22"/>
          <w:szCs w:val="22"/>
        </w:rPr>
        <w:t xml:space="preserve"> </w:t>
      </w:r>
      <w:r w:rsidRPr="00851AEE">
        <w:rPr>
          <w:rFonts w:ascii="Arial Narrow" w:hAnsi="Arial Narrow"/>
          <w:sz w:val="22"/>
          <w:szCs w:val="22"/>
        </w:rPr>
        <w:t xml:space="preserve">en </w:t>
      </w:r>
      <w:r>
        <w:rPr>
          <w:rFonts w:ascii="Arial Narrow" w:hAnsi="Arial Narrow"/>
          <w:sz w:val="22"/>
          <w:szCs w:val="22"/>
        </w:rPr>
        <w:t>los últimos meses de 2017</w:t>
      </w:r>
      <w:r w:rsidRPr="00851AEE">
        <w:rPr>
          <w:rFonts w:ascii="Arial Narrow" w:hAnsi="Arial Narrow"/>
          <w:sz w:val="22"/>
          <w:szCs w:val="22"/>
        </w:rPr>
        <w:t xml:space="preserve"> se registró una serie de choques adicionales que dio un nuevo impulso a la inflación. Así, la inflación general anual promedio aumentó de 6.48 a 6.59 por ciento entre el tercer y el cuarto trimestre de 2017, ubicándose en diciembre en un nivel</w:t>
      </w:r>
      <w:r>
        <w:rPr>
          <w:rFonts w:ascii="Arial Narrow" w:hAnsi="Arial Narrow"/>
          <w:sz w:val="22"/>
          <w:szCs w:val="22"/>
        </w:rPr>
        <w:t xml:space="preserve"> de 6.77 por ciento. Entre dichos</w:t>
      </w:r>
      <w:r w:rsidRPr="00851AEE">
        <w:rPr>
          <w:rFonts w:ascii="Arial Narrow" w:hAnsi="Arial Narrow"/>
          <w:sz w:val="22"/>
          <w:szCs w:val="22"/>
        </w:rPr>
        <w:t xml:space="preserve"> choques destacaron los aumentos en los precios de algunos energéticos, principalmente el gas L.P., y de ciertas frutas y verduras, asociados a factores climatológicos; una depreciación adicional de la moneda nacional y un aumento en su volatilidad, derivados entre otros factores, de la incertidumbre asociada al proceso de renegociación del </w:t>
      </w:r>
      <w:r w:rsidR="00E70148">
        <w:rPr>
          <w:rFonts w:ascii="Arial Narrow" w:hAnsi="Arial Narrow"/>
          <w:sz w:val="22"/>
          <w:szCs w:val="22"/>
        </w:rPr>
        <w:t>Tratado de Libre de Comercio de América del Norte (</w:t>
      </w:r>
      <w:r w:rsidRPr="00851AEE">
        <w:rPr>
          <w:rFonts w:ascii="Arial Narrow" w:hAnsi="Arial Narrow"/>
          <w:sz w:val="22"/>
          <w:szCs w:val="22"/>
        </w:rPr>
        <w:t>TLCAN</w:t>
      </w:r>
      <w:r w:rsidR="00E70148">
        <w:rPr>
          <w:rFonts w:ascii="Arial Narrow" w:hAnsi="Arial Narrow"/>
          <w:sz w:val="22"/>
          <w:szCs w:val="22"/>
        </w:rPr>
        <w:t>)</w:t>
      </w:r>
      <w:r w:rsidRPr="00851AEE">
        <w:rPr>
          <w:rFonts w:ascii="Arial Narrow" w:hAnsi="Arial Narrow"/>
          <w:sz w:val="22"/>
          <w:szCs w:val="22"/>
        </w:rPr>
        <w:t>, a la normalización de la polí</w:t>
      </w:r>
      <w:r>
        <w:rPr>
          <w:rFonts w:ascii="Arial Narrow" w:hAnsi="Arial Narrow"/>
          <w:sz w:val="22"/>
          <w:szCs w:val="22"/>
        </w:rPr>
        <w:t>tica monetaria en la nación estadounidense</w:t>
      </w:r>
      <w:r w:rsidRPr="00851AEE">
        <w:rPr>
          <w:rFonts w:ascii="Arial Narrow" w:hAnsi="Arial Narrow"/>
          <w:sz w:val="22"/>
          <w:szCs w:val="22"/>
        </w:rPr>
        <w:t>, a la aprobación de un plan fiscal en ese país, y a algunos elementos asociados al proceso electoral de México</w:t>
      </w:r>
      <w:r w:rsidR="00F9341A">
        <w:rPr>
          <w:rFonts w:ascii="Arial Narrow" w:hAnsi="Arial Narrow"/>
          <w:sz w:val="22"/>
          <w:szCs w:val="22"/>
        </w:rPr>
        <w:t xml:space="preserve"> a llevarse a cabo en 2018.</w:t>
      </w:r>
    </w:p>
    <w:p w:rsidR="00B83815" w:rsidRPr="00992D26" w:rsidRDefault="00B83815" w:rsidP="00B83815">
      <w:pPr>
        <w:pStyle w:val="Sangradetextonormal"/>
        <w:ind w:left="539" w:firstLine="0"/>
        <w:jc w:val="left"/>
        <w:rPr>
          <w:rFonts w:ascii="Arial Narrow" w:hAnsi="Arial Narrow"/>
          <w:sz w:val="22"/>
          <w:szCs w:val="22"/>
          <w:highlight w:val="yellow"/>
        </w:rPr>
      </w:pPr>
    </w:p>
    <w:p w:rsidR="00B83815" w:rsidRPr="001273F3" w:rsidRDefault="00B83815" w:rsidP="00B83815">
      <w:pPr>
        <w:pStyle w:val="Sangradetextonormal"/>
        <w:ind w:firstLine="876"/>
        <w:rPr>
          <w:rFonts w:ascii="Arial Narrow" w:hAnsi="Arial Narrow"/>
          <w:sz w:val="22"/>
          <w:szCs w:val="22"/>
        </w:rPr>
      </w:pPr>
      <w:r w:rsidRPr="001273F3">
        <w:rPr>
          <w:rFonts w:ascii="Arial Narrow" w:hAnsi="Arial Narrow"/>
          <w:sz w:val="22"/>
          <w:szCs w:val="22"/>
        </w:rPr>
        <w:t xml:space="preserve"> Conforme a l</w:t>
      </w:r>
      <w:r w:rsidR="00682EF4">
        <w:rPr>
          <w:rFonts w:ascii="Arial Narrow" w:hAnsi="Arial Narrow"/>
          <w:sz w:val="22"/>
          <w:szCs w:val="22"/>
        </w:rPr>
        <w:t>o descri</w:t>
      </w:r>
      <w:r w:rsidR="003E790E">
        <w:rPr>
          <w:rFonts w:ascii="Arial Narrow" w:hAnsi="Arial Narrow"/>
          <w:sz w:val="22"/>
          <w:szCs w:val="22"/>
        </w:rPr>
        <w:t>to, en diciembre de 2017</w:t>
      </w:r>
      <w:r w:rsidRPr="001273F3">
        <w:rPr>
          <w:rFonts w:ascii="Arial Narrow" w:hAnsi="Arial Narrow"/>
          <w:sz w:val="22"/>
          <w:szCs w:val="22"/>
        </w:rPr>
        <w:t xml:space="preserve"> el Índice Nacional de Precios al Consumidor (INPC) registró </w:t>
      </w:r>
      <w:r w:rsidR="003E790E">
        <w:rPr>
          <w:rFonts w:ascii="Arial Narrow" w:hAnsi="Arial Narrow"/>
          <w:sz w:val="22"/>
          <w:szCs w:val="22"/>
        </w:rPr>
        <w:t>un incremento de 0.59</w:t>
      </w:r>
      <w:r w:rsidRPr="001273F3">
        <w:rPr>
          <w:rFonts w:ascii="Arial Narrow" w:hAnsi="Arial Narrow"/>
          <w:sz w:val="22"/>
          <w:szCs w:val="22"/>
        </w:rPr>
        <w:t xml:space="preserve"> por ciento, así como </w:t>
      </w:r>
      <w:r w:rsidR="003E790E">
        <w:rPr>
          <w:rFonts w:ascii="Arial Narrow" w:hAnsi="Arial Narrow"/>
          <w:sz w:val="22"/>
          <w:szCs w:val="22"/>
        </w:rPr>
        <w:t>una tasa de inflación anual de 6.77</w:t>
      </w:r>
      <w:r w:rsidRPr="001273F3">
        <w:rPr>
          <w:rFonts w:ascii="Arial Narrow" w:hAnsi="Arial Narrow"/>
          <w:sz w:val="22"/>
          <w:szCs w:val="22"/>
        </w:rPr>
        <w:t xml:space="preserve"> por cient</w:t>
      </w:r>
      <w:r w:rsidR="008E2D70">
        <w:rPr>
          <w:rFonts w:ascii="Arial Narrow" w:hAnsi="Arial Narrow"/>
          <w:sz w:val="22"/>
          <w:szCs w:val="22"/>
        </w:rPr>
        <w:t xml:space="preserve">o. En el mismo periodo </w:t>
      </w:r>
      <w:r w:rsidR="00016386">
        <w:rPr>
          <w:rFonts w:ascii="Arial Narrow" w:hAnsi="Arial Narrow"/>
          <w:sz w:val="22"/>
          <w:szCs w:val="22"/>
        </w:rPr>
        <w:t>de 2016</w:t>
      </w:r>
      <w:r w:rsidR="003E790E">
        <w:rPr>
          <w:rFonts w:ascii="Arial Narrow" w:hAnsi="Arial Narrow"/>
          <w:sz w:val="22"/>
          <w:szCs w:val="22"/>
        </w:rPr>
        <w:t xml:space="preserve"> los datos fueron de 0.46 por ciento mensual y de 3.36</w:t>
      </w:r>
      <w:r w:rsidRPr="001273F3">
        <w:rPr>
          <w:rFonts w:ascii="Arial Narrow" w:hAnsi="Arial Narrow"/>
          <w:sz w:val="22"/>
          <w:szCs w:val="22"/>
        </w:rPr>
        <w:t xml:space="preserve"> por ciento anual.</w:t>
      </w:r>
    </w:p>
    <w:p w:rsidR="00B83815" w:rsidRPr="001273F3" w:rsidRDefault="00B83815" w:rsidP="00B83815">
      <w:pPr>
        <w:pStyle w:val="Sangradetextonormal"/>
        <w:ind w:left="539" w:firstLine="0"/>
        <w:jc w:val="left"/>
        <w:rPr>
          <w:rFonts w:ascii="Arial Narrow" w:hAnsi="Arial Narrow"/>
          <w:sz w:val="22"/>
          <w:szCs w:val="22"/>
        </w:rPr>
      </w:pPr>
    </w:p>
    <w:p w:rsidR="00B83815" w:rsidRPr="001273F3" w:rsidRDefault="00B83815" w:rsidP="00B83815">
      <w:pPr>
        <w:pStyle w:val="Sangradetextonormal"/>
        <w:ind w:firstLine="876"/>
        <w:rPr>
          <w:rFonts w:ascii="Arial Narrow" w:hAnsi="Arial Narrow"/>
          <w:sz w:val="22"/>
          <w:szCs w:val="22"/>
        </w:rPr>
      </w:pPr>
      <w:r w:rsidRPr="001273F3">
        <w:rPr>
          <w:rFonts w:ascii="Arial Narrow" w:hAnsi="Arial Narrow"/>
          <w:sz w:val="22"/>
          <w:szCs w:val="22"/>
        </w:rPr>
        <w:t xml:space="preserve">El índice de precios subyacente </w:t>
      </w:r>
      <w:r w:rsidR="003E790E">
        <w:rPr>
          <w:rFonts w:ascii="Arial Narrow" w:hAnsi="Arial Narrow"/>
          <w:sz w:val="22"/>
          <w:szCs w:val="22"/>
        </w:rPr>
        <w:t>presentó un crecimiento de 0.42</w:t>
      </w:r>
      <w:r w:rsidRPr="001273F3">
        <w:rPr>
          <w:rFonts w:ascii="Arial Narrow" w:hAnsi="Arial Narrow"/>
          <w:sz w:val="22"/>
          <w:szCs w:val="22"/>
        </w:rPr>
        <w:t xml:space="preserve"> por ciento,</w:t>
      </w:r>
      <w:r w:rsidR="003E790E">
        <w:rPr>
          <w:rFonts w:ascii="Arial Narrow" w:hAnsi="Arial Narrow"/>
          <w:sz w:val="22"/>
          <w:szCs w:val="22"/>
        </w:rPr>
        <w:t xml:space="preserve"> colocando su tasa anual en 4.87</w:t>
      </w:r>
      <w:r w:rsidRPr="001273F3">
        <w:rPr>
          <w:rFonts w:ascii="Arial Narrow" w:hAnsi="Arial Narrow"/>
          <w:sz w:val="22"/>
          <w:szCs w:val="22"/>
        </w:rPr>
        <w:t xml:space="preserve"> por ciento. Por su parte, el índice de preci</w:t>
      </w:r>
      <w:r w:rsidR="003E790E">
        <w:rPr>
          <w:rFonts w:ascii="Arial Narrow" w:hAnsi="Arial Narrow"/>
          <w:sz w:val="22"/>
          <w:szCs w:val="22"/>
        </w:rPr>
        <w:t>os no subyacente aumentó 1.09</w:t>
      </w:r>
      <w:r w:rsidRPr="001273F3">
        <w:rPr>
          <w:rFonts w:ascii="Arial Narrow" w:hAnsi="Arial Narrow"/>
          <w:sz w:val="22"/>
          <w:szCs w:val="22"/>
        </w:rPr>
        <w:t xml:space="preserve"> por ciento, alcanzando d</w:t>
      </w:r>
      <w:r w:rsidR="00D52817">
        <w:rPr>
          <w:rFonts w:ascii="Arial Narrow" w:hAnsi="Arial Narrow"/>
          <w:sz w:val="22"/>
          <w:szCs w:val="22"/>
        </w:rPr>
        <w:t>e esta forma una tasa anual d</w:t>
      </w:r>
      <w:r w:rsidR="003E790E">
        <w:rPr>
          <w:rFonts w:ascii="Arial Narrow" w:hAnsi="Arial Narrow"/>
          <w:sz w:val="22"/>
          <w:szCs w:val="22"/>
        </w:rPr>
        <w:t>e 12.62</w:t>
      </w:r>
      <w:r w:rsidRPr="001273F3">
        <w:rPr>
          <w:rFonts w:ascii="Arial Narrow" w:hAnsi="Arial Narrow"/>
          <w:sz w:val="22"/>
          <w:szCs w:val="22"/>
        </w:rPr>
        <w:t xml:space="preserve"> por ciento.</w:t>
      </w:r>
    </w:p>
    <w:p w:rsidR="00B83815" w:rsidRPr="001273F3" w:rsidRDefault="00B83815" w:rsidP="00B83815">
      <w:pPr>
        <w:pStyle w:val="Sangradetextonormal"/>
        <w:ind w:left="539" w:firstLine="0"/>
        <w:jc w:val="left"/>
        <w:rPr>
          <w:rFonts w:ascii="Arial Narrow" w:hAnsi="Arial Narrow"/>
          <w:sz w:val="22"/>
          <w:szCs w:val="22"/>
        </w:rPr>
      </w:pPr>
    </w:p>
    <w:p w:rsidR="00B83815" w:rsidRPr="001273F3" w:rsidRDefault="00B83815" w:rsidP="00B83815">
      <w:pPr>
        <w:pStyle w:val="Sangradetextonormal"/>
        <w:ind w:firstLine="851"/>
        <w:rPr>
          <w:rFonts w:ascii="Arial Narrow" w:hAnsi="Arial Narrow"/>
          <w:bCs/>
          <w:sz w:val="22"/>
          <w:szCs w:val="22"/>
        </w:rPr>
      </w:pPr>
      <w:r w:rsidRPr="001273F3">
        <w:rPr>
          <w:rFonts w:ascii="Arial Narrow" w:hAnsi="Arial Narrow"/>
          <w:bCs/>
          <w:sz w:val="22"/>
          <w:szCs w:val="22"/>
        </w:rPr>
        <w:t>Al interior del índice de precios subyacente, el subíndice de precios de las mer</w:t>
      </w:r>
      <w:r w:rsidR="003E790E">
        <w:rPr>
          <w:rFonts w:ascii="Arial Narrow" w:hAnsi="Arial Narrow"/>
          <w:bCs/>
          <w:sz w:val="22"/>
          <w:szCs w:val="22"/>
        </w:rPr>
        <w:t>cancías mostró una alza de 0.32</w:t>
      </w:r>
      <w:r>
        <w:rPr>
          <w:rFonts w:ascii="Arial Narrow" w:hAnsi="Arial Narrow"/>
          <w:bCs/>
          <w:sz w:val="22"/>
          <w:szCs w:val="22"/>
        </w:rPr>
        <w:t xml:space="preserve"> </w:t>
      </w:r>
      <w:r w:rsidRPr="001273F3">
        <w:rPr>
          <w:rFonts w:ascii="Arial Narrow" w:hAnsi="Arial Narrow"/>
          <w:bCs/>
          <w:sz w:val="22"/>
          <w:szCs w:val="22"/>
        </w:rPr>
        <w:t>por ciento y los precios de los servicios</w:t>
      </w:r>
      <w:r w:rsidR="003E790E">
        <w:rPr>
          <w:rFonts w:ascii="Arial Narrow" w:hAnsi="Arial Narrow"/>
          <w:bCs/>
          <w:sz w:val="22"/>
          <w:szCs w:val="22"/>
        </w:rPr>
        <w:t xml:space="preserve"> avanzaron 0.50</w:t>
      </w:r>
      <w:r>
        <w:rPr>
          <w:rFonts w:ascii="Arial Narrow" w:hAnsi="Arial Narrow"/>
          <w:bCs/>
          <w:sz w:val="22"/>
          <w:szCs w:val="22"/>
        </w:rPr>
        <w:t xml:space="preserve"> por ciento, a tasa mensual.</w:t>
      </w:r>
    </w:p>
    <w:p w:rsidR="00B83815" w:rsidRPr="001273F3" w:rsidRDefault="00B83815" w:rsidP="00B83815">
      <w:pPr>
        <w:pStyle w:val="Sangradetextonormal"/>
        <w:spacing w:line="240" w:lineRule="auto"/>
        <w:ind w:firstLine="851"/>
        <w:rPr>
          <w:rFonts w:ascii="Arial Narrow" w:hAnsi="Arial Narrow"/>
          <w:bCs/>
          <w:sz w:val="22"/>
          <w:szCs w:val="22"/>
        </w:rPr>
      </w:pPr>
    </w:p>
    <w:p w:rsidR="00B83815" w:rsidRPr="001273F3" w:rsidRDefault="00B83815" w:rsidP="00B83815">
      <w:pPr>
        <w:pStyle w:val="Sangradetextonormal"/>
        <w:ind w:firstLine="851"/>
        <w:rPr>
          <w:rFonts w:ascii="Arial Narrow" w:hAnsi="Arial Narrow"/>
          <w:bCs/>
          <w:sz w:val="22"/>
          <w:szCs w:val="22"/>
        </w:rPr>
      </w:pPr>
      <w:r w:rsidRPr="001273F3">
        <w:rPr>
          <w:rFonts w:ascii="Arial Narrow" w:hAnsi="Arial Narrow"/>
          <w:bCs/>
          <w:sz w:val="22"/>
          <w:szCs w:val="22"/>
        </w:rPr>
        <w:t>Dentro del índice de precios no subyacente, el subíndice de los</w:t>
      </w:r>
      <w:r w:rsidR="003E790E">
        <w:rPr>
          <w:rFonts w:ascii="Arial Narrow" w:hAnsi="Arial Narrow"/>
          <w:bCs/>
          <w:sz w:val="22"/>
          <w:szCs w:val="22"/>
        </w:rPr>
        <w:t xml:space="preserve"> productos agropecuarios subió 1.81</w:t>
      </w:r>
      <w:r>
        <w:rPr>
          <w:rFonts w:ascii="Arial Narrow" w:hAnsi="Arial Narrow"/>
          <w:bCs/>
          <w:sz w:val="22"/>
          <w:szCs w:val="22"/>
        </w:rPr>
        <w:t xml:space="preserve"> por ciento, mientras</w:t>
      </w:r>
      <w:r w:rsidRPr="001273F3">
        <w:rPr>
          <w:rFonts w:ascii="Arial Narrow" w:hAnsi="Arial Narrow"/>
          <w:bCs/>
          <w:sz w:val="22"/>
          <w:szCs w:val="22"/>
        </w:rPr>
        <w:t xml:space="preserve"> que los precios de los energéticos y tarifas aut</w:t>
      </w:r>
      <w:r w:rsidR="00D52817">
        <w:rPr>
          <w:rFonts w:ascii="Arial Narrow" w:hAnsi="Arial Narrow"/>
          <w:bCs/>
          <w:sz w:val="22"/>
          <w:szCs w:val="22"/>
        </w:rPr>
        <w:t>orizadas</w:t>
      </w:r>
      <w:r w:rsidR="003E790E">
        <w:rPr>
          <w:rFonts w:ascii="Arial Narrow" w:hAnsi="Arial Narrow"/>
          <w:bCs/>
          <w:sz w:val="22"/>
          <w:szCs w:val="22"/>
        </w:rPr>
        <w:t xml:space="preserve"> por el gobierno aumentaron 0.65</w:t>
      </w:r>
      <w:r w:rsidRPr="001273F3">
        <w:rPr>
          <w:rFonts w:ascii="Arial Narrow" w:hAnsi="Arial Narrow"/>
          <w:bCs/>
          <w:sz w:val="22"/>
          <w:szCs w:val="22"/>
        </w:rPr>
        <w:t xml:space="preserve"> por ciento.</w:t>
      </w:r>
    </w:p>
    <w:p w:rsidR="00B83815" w:rsidRPr="001273F3" w:rsidRDefault="00B83815" w:rsidP="00B83815">
      <w:pPr>
        <w:pStyle w:val="Sangradetextonormal"/>
        <w:ind w:firstLine="851"/>
        <w:rPr>
          <w:rFonts w:ascii="Arial Narrow" w:hAnsi="Arial Narrow"/>
          <w:bCs/>
          <w:sz w:val="22"/>
          <w:szCs w:val="22"/>
        </w:rPr>
      </w:pPr>
    </w:p>
    <w:p w:rsidR="00B83815" w:rsidRDefault="00B83815" w:rsidP="00B83815">
      <w:pPr>
        <w:pStyle w:val="Sangradetextonormal"/>
        <w:ind w:firstLine="708"/>
        <w:rPr>
          <w:rFonts w:ascii="Arial Narrow" w:hAnsi="Arial Narrow"/>
          <w:sz w:val="22"/>
          <w:szCs w:val="22"/>
        </w:rPr>
      </w:pPr>
      <w:r w:rsidRPr="00814F33">
        <w:rPr>
          <w:rFonts w:ascii="Arial Narrow" w:hAnsi="Arial Narrow"/>
          <w:sz w:val="22"/>
          <w:szCs w:val="22"/>
        </w:rPr>
        <w:t>En la gráfica que se presenta a continuación se muestra la evolución que ha tenido la inflación en los últimos tres años, de conformidad con los resultados comunicados recientemente por el Banco de México en el informe relativo al cuarto trime</w:t>
      </w:r>
      <w:r w:rsidR="003E790E">
        <w:rPr>
          <w:rFonts w:ascii="Arial Narrow" w:hAnsi="Arial Narrow"/>
          <w:sz w:val="22"/>
          <w:szCs w:val="22"/>
        </w:rPr>
        <w:t>stre de 2017</w:t>
      </w:r>
      <w:r w:rsidRPr="00814F33">
        <w:rPr>
          <w:rFonts w:ascii="Arial Narrow" w:hAnsi="Arial Narrow"/>
          <w:sz w:val="22"/>
          <w:szCs w:val="22"/>
        </w:rPr>
        <w:t>:</w:t>
      </w:r>
    </w:p>
    <w:p w:rsidR="00B83815" w:rsidRDefault="00B83815" w:rsidP="00B83815">
      <w:pPr>
        <w:pStyle w:val="Sangradetextonormal"/>
        <w:ind w:firstLine="708"/>
        <w:rPr>
          <w:rFonts w:ascii="Arial Narrow" w:hAnsi="Arial Narrow"/>
          <w:sz w:val="22"/>
          <w:szCs w:val="22"/>
        </w:rPr>
      </w:pPr>
    </w:p>
    <w:p w:rsidR="00B83815" w:rsidRPr="00992D26" w:rsidRDefault="003D3793" w:rsidP="00B83815">
      <w:pPr>
        <w:pStyle w:val="Sangradetextonormal"/>
        <w:ind w:firstLine="708"/>
        <w:rPr>
          <w:rFonts w:ascii="Arial Narrow" w:hAnsi="Arial Narrow"/>
          <w:sz w:val="22"/>
          <w:szCs w:val="22"/>
        </w:rPr>
      </w:pPr>
      <w:r w:rsidRPr="003D3793">
        <w:rPr>
          <w:noProof/>
          <w:lang w:val="es-MX" w:eastAsia="es-MX"/>
        </w:rPr>
        <w:lastRenderedPageBreak/>
        <w:drawing>
          <wp:anchor distT="0" distB="0" distL="114300" distR="114300" simplePos="0" relativeHeight="251858944" behindDoc="0" locked="0" layoutInCell="1" allowOverlap="1">
            <wp:simplePos x="0" y="0"/>
            <wp:positionH relativeFrom="column">
              <wp:posOffset>120650</wp:posOffset>
            </wp:positionH>
            <wp:positionV relativeFrom="paragraph">
              <wp:posOffset>43815</wp:posOffset>
            </wp:positionV>
            <wp:extent cx="5267325" cy="31098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67325" cy="3109855"/>
                    </a:xfrm>
                    <a:prstGeom prst="rect">
                      <a:avLst/>
                    </a:prstGeom>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noProof/>
          <w:lang w:val="es-MX" w:eastAsia="es-MX"/>
        </w:rPr>
      </w:pPr>
    </w:p>
    <w:p w:rsidR="00B83815" w:rsidRPr="00992D26" w:rsidRDefault="00B83815" w:rsidP="00B83815">
      <w:pPr>
        <w:pStyle w:val="Sangradetextonormal"/>
        <w:ind w:firstLine="708"/>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b/>
          <w:bCs/>
          <w:sz w:val="32"/>
          <w:szCs w:val="32"/>
        </w:rPr>
      </w:pPr>
    </w:p>
    <w:p w:rsidR="00B83815" w:rsidRDefault="00B83815" w:rsidP="00B83815">
      <w:pPr>
        <w:pStyle w:val="Sangradetextonormal"/>
        <w:ind w:left="540" w:firstLine="0"/>
        <w:jc w:val="left"/>
        <w:rPr>
          <w:rFonts w:ascii="Arial Narrow" w:hAnsi="Arial Narrow"/>
          <w:b/>
          <w:bCs/>
          <w:sz w:val="32"/>
          <w:szCs w:val="32"/>
        </w:rPr>
      </w:pPr>
    </w:p>
    <w:p w:rsidR="00B83815" w:rsidRDefault="00B83815" w:rsidP="00B83815">
      <w:pPr>
        <w:pStyle w:val="Sangradetextonormal"/>
        <w:ind w:left="540" w:firstLine="0"/>
        <w:jc w:val="left"/>
        <w:rPr>
          <w:rFonts w:ascii="Arial Narrow" w:hAnsi="Arial Narrow"/>
          <w:b/>
          <w:bCs/>
          <w:sz w:val="32"/>
          <w:szCs w:val="32"/>
        </w:rPr>
      </w:pPr>
    </w:p>
    <w:p w:rsidR="00B83815" w:rsidRDefault="00B83815" w:rsidP="00B83815">
      <w:pPr>
        <w:pStyle w:val="Sangradetextonormal"/>
        <w:ind w:left="540" w:firstLine="0"/>
        <w:jc w:val="left"/>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b/>
          <w:bCs/>
          <w:sz w:val="32"/>
          <w:szCs w:val="32"/>
        </w:rPr>
      </w:pPr>
    </w:p>
    <w:p w:rsidR="00B83815" w:rsidRPr="00814F33" w:rsidRDefault="003D3793" w:rsidP="003D3793">
      <w:pPr>
        <w:pStyle w:val="Sangradetextonormal"/>
        <w:ind w:firstLine="0"/>
        <w:jc w:val="left"/>
        <w:rPr>
          <w:rFonts w:ascii="Arial Narrow" w:hAnsi="Arial Narrow"/>
          <w:bCs/>
          <w:sz w:val="20"/>
        </w:rPr>
      </w:pPr>
      <w:r>
        <w:rPr>
          <w:rFonts w:ascii="Arial Narrow" w:hAnsi="Arial Narrow"/>
          <w:bCs/>
          <w:sz w:val="20"/>
        </w:rPr>
        <w:t xml:space="preserve">          </w:t>
      </w:r>
      <w:r w:rsidR="00B83815" w:rsidRPr="00814F33">
        <w:rPr>
          <w:rFonts w:ascii="Arial Narrow" w:hAnsi="Arial Narrow"/>
          <w:bCs/>
          <w:sz w:val="20"/>
        </w:rPr>
        <w:t xml:space="preserve">Fuente: </w:t>
      </w:r>
      <w:r w:rsidR="000D3155">
        <w:rPr>
          <w:rFonts w:ascii="Arial Narrow" w:hAnsi="Arial Narrow"/>
          <w:bCs/>
          <w:sz w:val="20"/>
        </w:rPr>
        <w:t xml:space="preserve">Gráfica elaborada por el </w:t>
      </w:r>
      <w:r w:rsidR="00B83815" w:rsidRPr="00814F33">
        <w:rPr>
          <w:rFonts w:ascii="Arial Narrow" w:hAnsi="Arial Narrow"/>
          <w:bCs/>
          <w:sz w:val="20"/>
        </w:rPr>
        <w:t>Banco de México con información de INEGI</w:t>
      </w:r>
    </w:p>
    <w:p w:rsidR="00B83815" w:rsidRDefault="00B83815" w:rsidP="00B83815">
      <w:pPr>
        <w:pStyle w:val="Sangradetextonormal"/>
        <w:ind w:left="540" w:firstLine="0"/>
        <w:jc w:val="left"/>
        <w:rPr>
          <w:rFonts w:ascii="Arial Narrow" w:hAnsi="Arial Narrow"/>
          <w:b/>
          <w:bCs/>
          <w:sz w:val="20"/>
        </w:rPr>
      </w:pPr>
    </w:p>
    <w:p w:rsidR="00116AB8" w:rsidRDefault="00116AB8" w:rsidP="00B83815">
      <w:pPr>
        <w:pStyle w:val="Sangradetextonormal"/>
        <w:ind w:left="540" w:firstLine="0"/>
        <w:jc w:val="left"/>
        <w:rPr>
          <w:rFonts w:ascii="Arial Narrow" w:hAnsi="Arial Narrow"/>
          <w:b/>
          <w:bCs/>
          <w:sz w:val="20"/>
        </w:rPr>
      </w:pP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t>Tasas de Interés</w:t>
      </w:r>
    </w:p>
    <w:p w:rsidR="00B83815" w:rsidRPr="00992D26" w:rsidRDefault="00B83815" w:rsidP="00B83815">
      <w:pPr>
        <w:pStyle w:val="Sangradetextonormal"/>
        <w:ind w:firstLine="876"/>
        <w:rPr>
          <w:rFonts w:ascii="Arial Narrow" w:hAnsi="Arial Narrow"/>
          <w:sz w:val="25"/>
        </w:rPr>
      </w:pPr>
    </w:p>
    <w:p w:rsidR="00B83815" w:rsidRPr="00992D26" w:rsidRDefault="00016386" w:rsidP="00647D69">
      <w:pPr>
        <w:pStyle w:val="Sangradetextonormal"/>
        <w:ind w:firstLine="876"/>
        <w:rPr>
          <w:rFonts w:ascii="Arial Narrow" w:hAnsi="Arial Narrow"/>
          <w:sz w:val="22"/>
          <w:szCs w:val="22"/>
        </w:rPr>
      </w:pPr>
      <w:r>
        <w:rPr>
          <w:rFonts w:ascii="Arial Narrow" w:hAnsi="Arial Narrow"/>
          <w:sz w:val="22"/>
          <w:szCs w:val="22"/>
        </w:rPr>
        <w:t>En reunión celebrada el 14 de Diciembre de 2017</w:t>
      </w:r>
      <w:r w:rsidR="00B83815">
        <w:rPr>
          <w:rFonts w:ascii="Arial Narrow" w:hAnsi="Arial Narrow"/>
          <w:sz w:val="22"/>
          <w:szCs w:val="22"/>
        </w:rPr>
        <w:t xml:space="preserve"> </w:t>
      </w:r>
      <w:r w:rsidR="00B83815" w:rsidRPr="00992D26">
        <w:rPr>
          <w:rFonts w:ascii="Arial Narrow" w:hAnsi="Arial Narrow"/>
          <w:sz w:val="22"/>
          <w:szCs w:val="22"/>
        </w:rPr>
        <w:t xml:space="preserve">la Junta de Gobierno del Banco de México decidió </w:t>
      </w:r>
      <w:r>
        <w:rPr>
          <w:rFonts w:ascii="Arial Narrow" w:hAnsi="Arial Narrow"/>
          <w:sz w:val="22"/>
          <w:szCs w:val="22"/>
        </w:rPr>
        <w:t>por unanimidad incrementar en 25</w:t>
      </w:r>
      <w:r w:rsidR="00B83815" w:rsidRPr="00992D26">
        <w:rPr>
          <w:rFonts w:ascii="Arial Narrow" w:hAnsi="Arial Narrow"/>
          <w:sz w:val="22"/>
          <w:szCs w:val="22"/>
        </w:rPr>
        <w:t xml:space="preserve"> puntos base el objetivo para la Tasa de Interés Interbanca</w:t>
      </w:r>
      <w:r>
        <w:rPr>
          <w:rFonts w:ascii="Arial Narrow" w:hAnsi="Arial Narrow"/>
          <w:sz w:val="22"/>
          <w:szCs w:val="22"/>
        </w:rPr>
        <w:t>ria a un día, para ubicarla en 7.25</w:t>
      </w:r>
      <w:r w:rsidR="00B83815" w:rsidRPr="00992D26">
        <w:rPr>
          <w:rFonts w:ascii="Arial Narrow" w:hAnsi="Arial Narrow"/>
          <w:sz w:val="22"/>
          <w:szCs w:val="22"/>
        </w:rPr>
        <w:t xml:space="preserve"> por ciento, en respuesta </w:t>
      </w:r>
      <w:r w:rsidR="00647D69">
        <w:rPr>
          <w:rFonts w:ascii="Arial Narrow" w:hAnsi="Arial Narrow"/>
          <w:sz w:val="22"/>
          <w:szCs w:val="22"/>
        </w:rPr>
        <w:t>a</w:t>
      </w:r>
      <w:r w:rsidR="00647D69" w:rsidRPr="00647D69">
        <w:rPr>
          <w:rFonts w:ascii="Arial Narrow" w:hAnsi="Arial Narrow"/>
          <w:sz w:val="22"/>
          <w:szCs w:val="22"/>
        </w:rPr>
        <w:t>l incremento en la volatilidad y la depreciación del</w:t>
      </w:r>
      <w:r w:rsidR="00647D69">
        <w:rPr>
          <w:rFonts w:ascii="Arial Narrow" w:hAnsi="Arial Narrow"/>
          <w:sz w:val="22"/>
          <w:szCs w:val="22"/>
        </w:rPr>
        <w:t xml:space="preserve"> </w:t>
      </w:r>
      <w:r w:rsidR="00647D69" w:rsidRPr="00647D69">
        <w:rPr>
          <w:rFonts w:ascii="Arial Narrow" w:hAnsi="Arial Narrow"/>
          <w:sz w:val="22"/>
          <w:szCs w:val="22"/>
        </w:rPr>
        <w:t>peso en un contexto de incertidumbre respecto a la renegociación del</w:t>
      </w:r>
      <w:r w:rsidR="00116AB8">
        <w:rPr>
          <w:rFonts w:ascii="Arial Narrow" w:hAnsi="Arial Narrow"/>
          <w:sz w:val="22"/>
          <w:szCs w:val="22"/>
        </w:rPr>
        <w:t xml:space="preserve"> Tratado de Libre Comercio de América del Norte         (</w:t>
      </w:r>
      <w:r w:rsidR="00647D69" w:rsidRPr="00647D69">
        <w:rPr>
          <w:rFonts w:ascii="Arial Narrow" w:hAnsi="Arial Narrow"/>
          <w:sz w:val="22"/>
          <w:szCs w:val="22"/>
        </w:rPr>
        <w:t>TLCAN</w:t>
      </w:r>
      <w:r w:rsidR="00116AB8">
        <w:rPr>
          <w:rFonts w:ascii="Arial Narrow" w:hAnsi="Arial Narrow"/>
          <w:sz w:val="22"/>
          <w:szCs w:val="22"/>
        </w:rPr>
        <w:t>)</w:t>
      </w:r>
      <w:r w:rsidR="00647D69" w:rsidRPr="00647D69">
        <w:rPr>
          <w:rFonts w:ascii="Arial Narrow" w:hAnsi="Arial Narrow"/>
          <w:sz w:val="22"/>
          <w:szCs w:val="22"/>
        </w:rPr>
        <w:t>, la normalización de</w:t>
      </w:r>
      <w:r w:rsidR="00647D69">
        <w:rPr>
          <w:rFonts w:ascii="Arial Narrow" w:hAnsi="Arial Narrow"/>
          <w:sz w:val="22"/>
          <w:szCs w:val="22"/>
        </w:rPr>
        <w:t xml:space="preserve"> </w:t>
      </w:r>
      <w:r w:rsidR="00647D69" w:rsidRPr="00647D69">
        <w:rPr>
          <w:rFonts w:ascii="Arial Narrow" w:hAnsi="Arial Narrow"/>
          <w:sz w:val="22"/>
          <w:szCs w:val="22"/>
        </w:rPr>
        <w:t xml:space="preserve">la política monetaria en </w:t>
      </w:r>
      <w:r w:rsidR="00647D69">
        <w:rPr>
          <w:rFonts w:ascii="Arial Narrow" w:hAnsi="Arial Narrow"/>
          <w:sz w:val="22"/>
          <w:szCs w:val="22"/>
        </w:rPr>
        <w:t xml:space="preserve">los </w:t>
      </w:r>
      <w:r w:rsidR="00647D69" w:rsidRPr="00647D69">
        <w:rPr>
          <w:rFonts w:ascii="Arial Narrow" w:hAnsi="Arial Narrow"/>
          <w:sz w:val="22"/>
          <w:szCs w:val="22"/>
        </w:rPr>
        <w:t>Estados Unidos</w:t>
      </w:r>
      <w:r w:rsidR="00647D69">
        <w:rPr>
          <w:rFonts w:ascii="Arial Narrow" w:hAnsi="Arial Narrow"/>
          <w:sz w:val="22"/>
          <w:szCs w:val="22"/>
        </w:rPr>
        <w:t xml:space="preserve"> de América</w:t>
      </w:r>
      <w:r w:rsidR="00647D69" w:rsidRPr="00647D69">
        <w:rPr>
          <w:rFonts w:ascii="Arial Narrow" w:hAnsi="Arial Narrow"/>
          <w:sz w:val="22"/>
          <w:szCs w:val="22"/>
        </w:rPr>
        <w:t>, así como la posible aprobación del nuevo plan fiscal en</w:t>
      </w:r>
      <w:r w:rsidR="00647D69">
        <w:rPr>
          <w:rFonts w:ascii="Arial Narrow" w:hAnsi="Arial Narrow"/>
          <w:sz w:val="22"/>
          <w:szCs w:val="22"/>
        </w:rPr>
        <w:t xml:space="preserve"> </w:t>
      </w:r>
      <w:r w:rsidR="00647D69" w:rsidRPr="00647D69">
        <w:rPr>
          <w:rFonts w:ascii="Arial Narrow" w:hAnsi="Arial Narrow"/>
          <w:sz w:val="22"/>
          <w:szCs w:val="22"/>
        </w:rPr>
        <w:t>dicho país</w:t>
      </w:r>
      <w:r w:rsidR="00647D69">
        <w:rPr>
          <w:rFonts w:ascii="Arial Narrow" w:hAnsi="Arial Narrow"/>
          <w:sz w:val="22"/>
          <w:szCs w:val="22"/>
        </w:rPr>
        <w:t>.</w:t>
      </w:r>
    </w:p>
    <w:p w:rsidR="00B83815" w:rsidRPr="00992D26" w:rsidRDefault="00B83815" w:rsidP="00B83815">
      <w:pPr>
        <w:pStyle w:val="Sangradetextonormal"/>
        <w:ind w:firstLine="876"/>
        <w:rPr>
          <w:rFonts w:ascii="Arial Narrow" w:hAnsi="Arial Narrow"/>
          <w:sz w:val="22"/>
          <w:szCs w:val="22"/>
        </w:rPr>
      </w:pPr>
    </w:p>
    <w:p w:rsidR="00B83815" w:rsidRDefault="00B83815" w:rsidP="00647D69">
      <w:pPr>
        <w:pStyle w:val="Sangradetextonormal"/>
        <w:ind w:firstLine="876"/>
        <w:rPr>
          <w:rFonts w:ascii="Arial Narrow" w:hAnsi="Arial Narrow"/>
          <w:sz w:val="22"/>
          <w:szCs w:val="22"/>
        </w:rPr>
      </w:pPr>
      <w:r w:rsidRPr="00992D26">
        <w:rPr>
          <w:rFonts w:ascii="Arial Narrow" w:hAnsi="Arial Narrow"/>
          <w:sz w:val="22"/>
          <w:szCs w:val="22"/>
        </w:rPr>
        <w:t>La decisión de p</w:t>
      </w:r>
      <w:r w:rsidR="00D03D27">
        <w:rPr>
          <w:rFonts w:ascii="Arial Narrow" w:hAnsi="Arial Narrow"/>
          <w:sz w:val="22"/>
          <w:szCs w:val="22"/>
        </w:rPr>
        <w:t xml:space="preserve">olítica monetaria se realizó </w:t>
      </w:r>
      <w:r w:rsidR="00647D69">
        <w:rPr>
          <w:rFonts w:ascii="Arial Narrow" w:hAnsi="Arial Narrow"/>
          <w:sz w:val="22"/>
          <w:szCs w:val="22"/>
        </w:rPr>
        <w:t>d</w:t>
      </w:r>
      <w:r w:rsidR="00647D69" w:rsidRPr="00647D69">
        <w:rPr>
          <w:rFonts w:ascii="Arial Narrow" w:hAnsi="Arial Narrow"/>
          <w:sz w:val="22"/>
          <w:szCs w:val="22"/>
        </w:rPr>
        <w:t>ada la simultaneidad y magnitud de los choques</w:t>
      </w:r>
      <w:r w:rsidR="00647D69">
        <w:rPr>
          <w:rFonts w:ascii="Arial Narrow" w:hAnsi="Arial Narrow"/>
          <w:sz w:val="22"/>
          <w:szCs w:val="22"/>
        </w:rPr>
        <w:t xml:space="preserve"> </w:t>
      </w:r>
      <w:r w:rsidR="00647D69" w:rsidRPr="00647D69">
        <w:rPr>
          <w:rFonts w:ascii="Arial Narrow" w:hAnsi="Arial Narrow"/>
          <w:sz w:val="22"/>
          <w:szCs w:val="22"/>
        </w:rPr>
        <w:t xml:space="preserve">que han </w:t>
      </w:r>
      <w:r w:rsidR="00F53F0E">
        <w:rPr>
          <w:rFonts w:ascii="Arial Narrow" w:hAnsi="Arial Narrow"/>
          <w:sz w:val="22"/>
          <w:szCs w:val="22"/>
        </w:rPr>
        <w:t>venido afectando a la inflación</w:t>
      </w:r>
      <w:r w:rsidR="00647D69" w:rsidRPr="00647D69">
        <w:rPr>
          <w:rFonts w:ascii="Arial Narrow" w:hAnsi="Arial Narrow"/>
          <w:sz w:val="22"/>
          <w:szCs w:val="22"/>
        </w:rPr>
        <w:t xml:space="preserve"> y los altos</w:t>
      </w:r>
      <w:r w:rsidR="00647D69">
        <w:rPr>
          <w:rFonts w:ascii="Arial Narrow" w:hAnsi="Arial Narrow"/>
          <w:sz w:val="22"/>
          <w:szCs w:val="22"/>
        </w:rPr>
        <w:t xml:space="preserve"> </w:t>
      </w:r>
      <w:r w:rsidR="00F53F0E">
        <w:rPr>
          <w:rFonts w:ascii="Arial Narrow" w:hAnsi="Arial Narrow"/>
          <w:sz w:val="22"/>
          <w:szCs w:val="22"/>
        </w:rPr>
        <w:t>niveles que é</w:t>
      </w:r>
      <w:r w:rsidR="00647D69" w:rsidRPr="00647D69">
        <w:rPr>
          <w:rFonts w:ascii="Arial Narrow" w:hAnsi="Arial Narrow"/>
          <w:sz w:val="22"/>
          <w:szCs w:val="22"/>
        </w:rPr>
        <w:t>sta ha registrado recientemente, el</w:t>
      </w:r>
      <w:r w:rsidR="00647D69">
        <w:rPr>
          <w:rFonts w:ascii="Arial Narrow" w:hAnsi="Arial Narrow"/>
          <w:sz w:val="22"/>
          <w:szCs w:val="22"/>
        </w:rPr>
        <w:t xml:space="preserve"> </w:t>
      </w:r>
      <w:r w:rsidR="00647D69" w:rsidRPr="00647D69">
        <w:rPr>
          <w:rFonts w:ascii="Arial Narrow" w:hAnsi="Arial Narrow"/>
          <w:sz w:val="22"/>
          <w:szCs w:val="22"/>
        </w:rPr>
        <w:t xml:space="preserve">principal reto que </w:t>
      </w:r>
      <w:r w:rsidR="00647D69" w:rsidRPr="00647D69">
        <w:rPr>
          <w:rFonts w:ascii="Arial Narrow" w:hAnsi="Arial Narrow"/>
          <w:sz w:val="22"/>
          <w:szCs w:val="22"/>
        </w:rPr>
        <w:lastRenderedPageBreak/>
        <w:t>enfrenta la Junta de Gobierno en</w:t>
      </w:r>
      <w:r w:rsidR="00647D69">
        <w:rPr>
          <w:rFonts w:ascii="Arial Narrow" w:hAnsi="Arial Narrow"/>
          <w:sz w:val="22"/>
          <w:szCs w:val="22"/>
        </w:rPr>
        <w:t xml:space="preserve"> </w:t>
      </w:r>
      <w:r w:rsidR="00647D69" w:rsidRPr="00647D69">
        <w:rPr>
          <w:rFonts w:ascii="Arial Narrow" w:hAnsi="Arial Narrow"/>
          <w:sz w:val="22"/>
          <w:szCs w:val="22"/>
        </w:rPr>
        <w:t>el entorno descrito es el de mantener ancladas las</w:t>
      </w:r>
      <w:r w:rsidR="00647D69">
        <w:rPr>
          <w:rFonts w:ascii="Arial Narrow" w:hAnsi="Arial Narrow"/>
          <w:sz w:val="22"/>
          <w:szCs w:val="22"/>
        </w:rPr>
        <w:t xml:space="preserve"> </w:t>
      </w:r>
      <w:r w:rsidR="00647D69" w:rsidRPr="00647D69">
        <w:rPr>
          <w:rFonts w:ascii="Arial Narrow" w:hAnsi="Arial Narrow"/>
          <w:sz w:val="22"/>
          <w:szCs w:val="22"/>
        </w:rPr>
        <w:t>expectativas de inflación de mediano y largo plazo</w:t>
      </w:r>
      <w:r w:rsidR="00647D69">
        <w:rPr>
          <w:rFonts w:ascii="Arial Narrow" w:hAnsi="Arial Narrow"/>
          <w:sz w:val="22"/>
          <w:szCs w:val="22"/>
        </w:rPr>
        <w:t xml:space="preserve"> </w:t>
      </w:r>
      <w:r w:rsidR="00647D69" w:rsidRPr="00647D69">
        <w:rPr>
          <w:rFonts w:ascii="Arial Narrow" w:hAnsi="Arial Narrow"/>
          <w:sz w:val="22"/>
          <w:szCs w:val="22"/>
        </w:rPr>
        <w:t>y reforzar la tendencia descendente de la inflación</w:t>
      </w:r>
      <w:r w:rsidR="00647D69">
        <w:rPr>
          <w:rFonts w:ascii="Arial Narrow" w:hAnsi="Arial Narrow"/>
          <w:sz w:val="22"/>
          <w:szCs w:val="22"/>
        </w:rPr>
        <w:t xml:space="preserve"> </w:t>
      </w:r>
      <w:r w:rsidR="00647D69" w:rsidRPr="00647D69">
        <w:rPr>
          <w:rFonts w:ascii="Arial Narrow" w:hAnsi="Arial Narrow"/>
          <w:sz w:val="22"/>
          <w:szCs w:val="22"/>
        </w:rPr>
        <w:t>general hacia su meta</w:t>
      </w:r>
      <w:r w:rsidR="00647D69">
        <w:rPr>
          <w:rFonts w:ascii="Arial Narrow" w:hAnsi="Arial Narrow"/>
          <w:sz w:val="22"/>
          <w:szCs w:val="22"/>
        </w:rPr>
        <w:t>.</w:t>
      </w:r>
    </w:p>
    <w:p w:rsidR="00116AB8" w:rsidRPr="00992D26" w:rsidRDefault="00116AB8" w:rsidP="00647D69">
      <w:pPr>
        <w:pStyle w:val="Sangradetextonormal"/>
        <w:ind w:firstLine="876"/>
        <w:rPr>
          <w:rFonts w:ascii="Arial Narrow" w:hAnsi="Arial Narrow"/>
          <w:sz w:val="22"/>
          <w:szCs w:val="22"/>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 xml:space="preserve">En el siguiente cuadro se reportan los resultados de las Decisiones de Política Monetaria </w:t>
      </w:r>
      <w:r w:rsidR="00D03D27">
        <w:rPr>
          <w:rFonts w:ascii="Arial Narrow" w:hAnsi="Arial Narrow"/>
          <w:sz w:val="22"/>
          <w:szCs w:val="22"/>
        </w:rPr>
        <w:t>acontecidas en el Ejerc</w:t>
      </w:r>
      <w:r w:rsidR="00116AB8">
        <w:rPr>
          <w:rFonts w:ascii="Arial Narrow" w:hAnsi="Arial Narrow"/>
          <w:sz w:val="22"/>
          <w:szCs w:val="22"/>
        </w:rPr>
        <w:t>icio 2017</w:t>
      </w:r>
      <w:r w:rsidRPr="00992D26">
        <w:rPr>
          <w:rFonts w:ascii="Arial Narrow" w:hAnsi="Arial Narrow"/>
          <w:sz w:val="22"/>
          <w:szCs w:val="22"/>
        </w:rPr>
        <w:t>:</w:t>
      </w:r>
    </w:p>
    <w:p w:rsidR="00B83815" w:rsidRPr="00992D26" w:rsidRDefault="00B83815" w:rsidP="00B83815">
      <w:pPr>
        <w:pStyle w:val="Sangradetextonormal"/>
        <w:ind w:firstLine="876"/>
        <w:rPr>
          <w:rFonts w:ascii="Arial Narrow" w:hAnsi="Arial Narrow"/>
          <w:sz w:val="25"/>
        </w:rPr>
      </w:pPr>
    </w:p>
    <w:p w:rsidR="00B83815" w:rsidRPr="00992D26" w:rsidRDefault="007856AA" w:rsidP="00B83815">
      <w:pPr>
        <w:pStyle w:val="Sangradetextonormal"/>
        <w:ind w:firstLine="876"/>
        <w:rPr>
          <w:rFonts w:ascii="Arial Narrow" w:hAnsi="Arial Narrow"/>
          <w:sz w:val="25"/>
          <w:lang w:val="es-MX"/>
        </w:rPr>
      </w:pPr>
      <w:r>
        <w:rPr>
          <w:rFonts w:ascii="Arial Narrow" w:hAnsi="Arial Narrow"/>
          <w:noProof/>
          <w:sz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7" type="#_x0000_t75" style="position:absolute;left:0;text-align:left;margin-left:-.85pt;margin-top:3.25pt;width:452.1pt;height:188.2pt;z-index:251860992;mso-position-horizontal-relative:text;mso-position-vertical-relative:text">
            <v:imagedata r:id="rId10" o:title=""/>
          </v:shape>
          <o:OLEObject Type="Embed" ProgID="Excel.Sheet.12" ShapeID="_x0000_s1177" DrawAspect="Content" ObjectID="_1586853566" r:id="rId11"/>
        </w:pict>
      </w: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Default="00B83815" w:rsidP="00B83815">
      <w:pPr>
        <w:pStyle w:val="Sangradetextonormal"/>
        <w:ind w:firstLine="876"/>
        <w:rPr>
          <w:rFonts w:ascii="Arial Narrow" w:hAnsi="Arial Narrow"/>
          <w:sz w:val="25"/>
        </w:rPr>
      </w:pPr>
      <w:r w:rsidRPr="00992D26">
        <w:rPr>
          <w:rFonts w:ascii="Arial Narrow" w:hAnsi="Arial Narrow"/>
          <w:sz w:val="25"/>
        </w:rPr>
        <w:t xml:space="preserve">   </w:t>
      </w:r>
    </w:p>
    <w:p w:rsidR="004E4584"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Por otra parte, la tasa primaria de Cetes a 28 días c</w:t>
      </w:r>
      <w:r w:rsidR="004E4584">
        <w:rPr>
          <w:rFonts w:ascii="Arial Narrow" w:hAnsi="Arial Narrow"/>
          <w:sz w:val="22"/>
          <w:szCs w:val="22"/>
        </w:rPr>
        <w:t>erró el cuarto trimestre de 2017 en 7.22</w:t>
      </w:r>
      <w:r w:rsidRPr="00992D26">
        <w:rPr>
          <w:rFonts w:ascii="Arial Narrow" w:hAnsi="Arial Narrow"/>
          <w:sz w:val="22"/>
          <w:szCs w:val="22"/>
        </w:rPr>
        <w:t xml:space="preserve"> por ciento, lo </w:t>
      </w:r>
      <w:r>
        <w:rPr>
          <w:rFonts w:ascii="Arial Narrow" w:hAnsi="Arial Narrow"/>
          <w:sz w:val="22"/>
          <w:szCs w:val="22"/>
        </w:rPr>
        <w:t xml:space="preserve">que significó un aumento de </w:t>
      </w:r>
      <w:r w:rsidR="004E4584">
        <w:rPr>
          <w:rFonts w:ascii="Arial Narrow" w:hAnsi="Arial Narrow"/>
          <w:sz w:val="22"/>
          <w:szCs w:val="22"/>
        </w:rPr>
        <w:t>22</w:t>
      </w:r>
      <w:r w:rsidRPr="00992D26">
        <w:rPr>
          <w:rFonts w:ascii="Arial Narrow" w:hAnsi="Arial Narrow"/>
          <w:sz w:val="22"/>
          <w:szCs w:val="22"/>
        </w:rPr>
        <w:t xml:space="preserve"> puntos base respecto al cierre del </w:t>
      </w:r>
      <w:r w:rsidR="00043A5B">
        <w:rPr>
          <w:rFonts w:ascii="Arial Narrow" w:hAnsi="Arial Narrow"/>
          <w:sz w:val="22"/>
          <w:szCs w:val="22"/>
        </w:rPr>
        <w:t>trimestre anterior. Así mismo</w:t>
      </w:r>
      <w:r w:rsidRPr="00992D26">
        <w:rPr>
          <w:rFonts w:ascii="Arial Narrow" w:hAnsi="Arial Narrow"/>
          <w:sz w:val="22"/>
          <w:szCs w:val="22"/>
        </w:rPr>
        <w:t>, la tasa primaria</w:t>
      </w:r>
      <w:r w:rsidR="00043A5B">
        <w:rPr>
          <w:rFonts w:ascii="Arial Narrow" w:hAnsi="Arial Narrow"/>
          <w:sz w:val="22"/>
          <w:szCs w:val="22"/>
        </w:rPr>
        <w:t xml:space="preserve"> de Cet</w:t>
      </w:r>
      <w:r w:rsidR="004E4584">
        <w:rPr>
          <w:rFonts w:ascii="Arial Narrow" w:hAnsi="Arial Narrow"/>
          <w:sz w:val="22"/>
          <w:szCs w:val="22"/>
        </w:rPr>
        <w:t>es a un año cerró en 7.36</w:t>
      </w:r>
      <w:r>
        <w:rPr>
          <w:rFonts w:ascii="Arial Narrow" w:hAnsi="Arial Narrow"/>
          <w:sz w:val="22"/>
          <w:szCs w:val="22"/>
        </w:rPr>
        <w:t xml:space="preserve"> por ciento, </w:t>
      </w:r>
      <w:r w:rsidR="004E4584">
        <w:rPr>
          <w:rFonts w:ascii="Arial Narrow" w:hAnsi="Arial Narrow"/>
          <w:sz w:val="22"/>
          <w:szCs w:val="22"/>
        </w:rPr>
        <w:t>29</w:t>
      </w:r>
      <w:r w:rsidRPr="00992D26">
        <w:rPr>
          <w:rFonts w:ascii="Arial Narrow" w:hAnsi="Arial Narrow"/>
          <w:sz w:val="22"/>
          <w:szCs w:val="22"/>
        </w:rPr>
        <w:t xml:space="preserve"> puntos base por </w:t>
      </w:r>
      <w:r w:rsidR="00043A5B">
        <w:rPr>
          <w:rFonts w:ascii="Arial Narrow" w:hAnsi="Arial Narrow"/>
          <w:sz w:val="22"/>
          <w:szCs w:val="22"/>
        </w:rPr>
        <w:t>arriba</w:t>
      </w:r>
      <w:r w:rsidRPr="00992D26">
        <w:rPr>
          <w:rFonts w:ascii="Arial Narrow" w:hAnsi="Arial Narrow"/>
          <w:sz w:val="22"/>
          <w:szCs w:val="22"/>
        </w:rPr>
        <w:t xml:space="preserve"> del cierre del trimestre previo. </w:t>
      </w:r>
    </w:p>
    <w:p w:rsidR="004E4584" w:rsidRDefault="004E4584" w:rsidP="00B83815">
      <w:pPr>
        <w:pStyle w:val="Sangradetextonormal"/>
        <w:ind w:firstLine="876"/>
        <w:rPr>
          <w:rFonts w:ascii="Arial Narrow" w:hAnsi="Arial Narrow"/>
          <w:sz w:val="22"/>
          <w:szCs w:val="22"/>
        </w:rPr>
      </w:pPr>
    </w:p>
    <w:p w:rsidR="004E4584"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 xml:space="preserve">Adicionalmente, </w:t>
      </w:r>
      <w:r w:rsidR="00043A5B">
        <w:rPr>
          <w:rFonts w:ascii="Arial Narrow" w:hAnsi="Arial Narrow"/>
          <w:sz w:val="22"/>
          <w:szCs w:val="22"/>
        </w:rPr>
        <w:t>en el mediano plazo, l</w:t>
      </w:r>
      <w:r w:rsidR="004E4584">
        <w:rPr>
          <w:rFonts w:ascii="Arial Narrow" w:hAnsi="Arial Narrow"/>
          <w:sz w:val="22"/>
          <w:szCs w:val="22"/>
        </w:rPr>
        <w:t>a tasa de 5 años se situó en 7.7</w:t>
      </w:r>
      <w:r w:rsidR="00043A5B">
        <w:rPr>
          <w:rFonts w:ascii="Arial Narrow" w:hAnsi="Arial Narrow"/>
          <w:sz w:val="22"/>
          <w:szCs w:val="22"/>
        </w:rPr>
        <w:t>5 por ciento</w:t>
      </w:r>
      <w:r w:rsidR="004E4584">
        <w:rPr>
          <w:rFonts w:ascii="Arial Narrow" w:hAnsi="Arial Narrow"/>
          <w:sz w:val="22"/>
          <w:szCs w:val="22"/>
        </w:rPr>
        <w:t>, 97 puntos base por arriba del cierre de septiembre de 2017.</w:t>
      </w:r>
    </w:p>
    <w:p w:rsidR="004E4584" w:rsidRDefault="004E4584" w:rsidP="00B83815">
      <w:pPr>
        <w:pStyle w:val="Sangradetextonormal"/>
        <w:ind w:firstLine="876"/>
        <w:rPr>
          <w:rFonts w:ascii="Arial Narrow" w:hAnsi="Arial Narrow"/>
          <w:sz w:val="22"/>
          <w:szCs w:val="22"/>
        </w:rPr>
      </w:pPr>
    </w:p>
    <w:p w:rsidR="00B83815" w:rsidRDefault="00043A5B" w:rsidP="00B83815">
      <w:pPr>
        <w:pStyle w:val="Sangradetextonormal"/>
        <w:ind w:firstLine="876"/>
        <w:rPr>
          <w:rFonts w:ascii="Arial Narrow" w:hAnsi="Arial Narrow"/>
          <w:sz w:val="22"/>
          <w:szCs w:val="22"/>
        </w:rPr>
      </w:pPr>
      <w:r>
        <w:rPr>
          <w:rFonts w:ascii="Arial Narrow" w:hAnsi="Arial Narrow"/>
          <w:sz w:val="22"/>
          <w:szCs w:val="22"/>
        </w:rPr>
        <w:t>En cuanto al largo plazo, la</w:t>
      </w:r>
      <w:r w:rsidR="004E4584">
        <w:rPr>
          <w:rFonts w:ascii="Arial Narrow" w:hAnsi="Arial Narrow"/>
          <w:sz w:val="22"/>
          <w:szCs w:val="22"/>
        </w:rPr>
        <w:t xml:space="preserve"> tasa a 10 años se ubicó en 7.53 por ciento, 74</w:t>
      </w:r>
      <w:r>
        <w:rPr>
          <w:rFonts w:ascii="Arial Narrow" w:hAnsi="Arial Narrow"/>
          <w:sz w:val="22"/>
          <w:szCs w:val="22"/>
        </w:rPr>
        <w:t xml:space="preserve"> puntos base por arriba del nivel de cierre del trimestre anterior, mientras que la </w:t>
      </w:r>
      <w:r w:rsidR="004E4584">
        <w:rPr>
          <w:rFonts w:ascii="Arial Narrow" w:hAnsi="Arial Narrow"/>
          <w:sz w:val="22"/>
          <w:szCs w:val="22"/>
        </w:rPr>
        <w:t>tasa de 20 años se ubicó en 7.52 por ciento, 36</w:t>
      </w:r>
      <w:r>
        <w:rPr>
          <w:rFonts w:ascii="Arial Narrow" w:hAnsi="Arial Narrow"/>
          <w:sz w:val="22"/>
          <w:szCs w:val="22"/>
        </w:rPr>
        <w:t xml:space="preserve"> puntos base por arriba del nivel obs</w:t>
      </w:r>
      <w:r w:rsidR="004E4584">
        <w:rPr>
          <w:rFonts w:ascii="Arial Narrow" w:hAnsi="Arial Narrow"/>
          <w:sz w:val="22"/>
          <w:szCs w:val="22"/>
        </w:rPr>
        <w:t>ervado al cierre del tercer trimestre de 2017.</w:t>
      </w:r>
    </w:p>
    <w:p w:rsidR="00B83815" w:rsidRPr="004F5037"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4F5037">
        <w:rPr>
          <w:rFonts w:ascii="Arial Narrow" w:hAnsi="Arial Narrow"/>
          <w:b/>
          <w:bCs/>
          <w:szCs w:val="28"/>
        </w:rPr>
        <w:lastRenderedPageBreak/>
        <w:t xml:space="preserve">Importaciones y Exportaciones </w:t>
      </w:r>
    </w:p>
    <w:p w:rsidR="00B83815" w:rsidRPr="00992D26" w:rsidRDefault="00B83815" w:rsidP="00B83815">
      <w:pPr>
        <w:pStyle w:val="Sangradetextonormal"/>
        <w:ind w:left="539" w:firstLine="0"/>
        <w:jc w:val="left"/>
        <w:rPr>
          <w:rFonts w:ascii="Arial Narrow" w:hAnsi="Arial Narrow"/>
          <w:b/>
          <w:bCs/>
          <w:sz w:val="32"/>
          <w:szCs w:val="32"/>
        </w:rPr>
      </w:pPr>
    </w:p>
    <w:p w:rsidR="00B83815" w:rsidRPr="004F5037" w:rsidRDefault="00B83815" w:rsidP="00B83815">
      <w:pPr>
        <w:pStyle w:val="Sangradetextonormal"/>
        <w:ind w:firstLine="876"/>
        <w:rPr>
          <w:rFonts w:ascii="Arial Narrow" w:hAnsi="Arial Narrow"/>
          <w:sz w:val="22"/>
          <w:szCs w:val="22"/>
        </w:rPr>
      </w:pPr>
      <w:r w:rsidRPr="004F5037">
        <w:rPr>
          <w:rFonts w:ascii="Arial Narrow" w:hAnsi="Arial Narrow"/>
          <w:sz w:val="22"/>
          <w:szCs w:val="22"/>
        </w:rPr>
        <w:t>Durante 20</w:t>
      </w:r>
      <w:r w:rsidR="006D05E7">
        <w:rPr>
          <w:rFonts w:ascii="Arial Narrow" w:hAnsi="Arial Narrow"/>
          <w:sz w:val="22"/>
          <w:szCs w:val="22"/>
        </w:rPr>
        <w:t>17</w:t>
      </w:r>
      <w:r w:rsidRPr="004F5037">
        <w:rPr>
          <w:rFonts w:ascii="Arial Narrow" w:hAnsi="Arial Narrow"/>
          <w:sz w:val="22"/>
          <w:szCs w:val="22"/>
        </w:rPr>
        <w:t xml:space="preserve"> la balanza comercial d</w:t>
      </w:r>
      <w:r>
        <w:rPr>
          <w:rFonts w:ascii="Arial Narrow" w:hAnsi="Arial Narrow"/>
          <w:sz w:val="22"/>
          <w:szCs w:val="22"/>
        </w:rPr>
        <w:t>e</w:t>
      </w:r>
      <w:r w:rsidR="006D05E7">
        <w:rPr>
          <w:rFonts w:ascii="Arial Narrow" w:hAnsi="Arial Narrow"/>
          <w:sz w:val="22"/>
          <w:szCs w:val="22"/>
        </w:rPr>
        <w:t xml:space="preserve"> México acumuló un déficit de 10 mil 87</w:t>
      </w:r>
      <w:r w:rsidR="00043A5B">
        <w:rPr>
          <w:rFonts w:ascii="Arial Narrow" w:hAnsi="Arial Narrow"/>
          <w:sz w:val="22"/>
          <w:szCs w:val="22"/>
        </w:rPr>
        <w:t>5</w:t>
      </w:r>
      <w:r w:rsidRPr="004F5037">
        <w:rPr>
          <w:rFonts w:ascii="Arial Narrow" w:hAnsi="Arial Narrow"/>
          <w:sz w:val="22"/>
          <w:szCs w:val="22"/>
        </w:rPr>
        <w:t xml:space="preserve"> mi</w:t>
      </w:r>
      <w:r w:rsidR="006D05E7">
        <w:rPr>
          <w:rFonts w:ascii="Arial Narrow" w:hAnsi="Arial Narrow"/>
          <w:sz w:val="22"/>
          <w:szCs w:val="22"/>
        </w:rPr>
        <w:t>llones de dólares, inferior en 2 mil 250</w:t>
      </w:r>
      <w:r w:rsidRPr="004F5037">
        <w:rPr>
          <w:rFonts w:ascii="Arial Narrow" w:hAnsi="Arial Narrow"/>
          <w:sz w:val="22"/>
          <w:szCs w:val="22"/>
        </w:rPr>
        <w:t xml:space="preserve"> millones</w:t>
      </w:r>
      <w:r w:rsidR="006D05E7">
        <w:rPr>
          <w:rFonts w:ascii="Arial Narrow" w:hAnsi="Arial Narrow"/>
          <w:sz w:val="22"/>
          <w:szCs w:val="22"/>
        </w:rPr>
        <w:t xml:space="preserve"> de dólares al observado en 2016. El superávit</w:t>
      </w:r>
      <w:r w:rsidRPr="004F5037">
        <w:rPr>
          <w:rFonts w:ascii="Arial Narrow" w:hAnsi="Arial Narrow"/>
          <w:sz w:val="22"/>
          <w:szCs w:val="22"/>
        </w:rPr>
        <w:t xml:space="preserve"> comercial de l</w:t>
      </w:r>
      <w:r w:rsidR="00043A5B">
        <w:rPr>
          <w:rFonts w:ascii="Arial Narrow" w:hAnsi="Arial Narrow"/>
          <w:sz w:val="22"/>
          <w:szCs w:val="22"/>
        </w:rPr>
        <w:t xml:space="preserve">a </w:t>
      </w:r>
      <w:r w:rsidR="006D05E7">
        <w:rPr>
          <w:rFonts w:ascii="Arial Narrow" w:hAnsi="Arial Narrow"/>
          <w:sz w:val="22"/>
          <w:szCs w:val="22"/>
        </w:rPr>
        <w:t>balanza no petrolera de 7 mil 527 millones de dólares contrasta con el déficit de 377 millones de dólares registrado el año previo.</w:t>
      </w:r>
    </w:p>
    <w:p w:rsidR="00B83815" w:rsidRPr="004F5037" w:rsidRDefault="00B83815" w:rsidP="00B83815">
      <w:pPr>
        <w:pStyle w:val="Sangradetextonormal"/>
        <w:ind w:left="539" w:firstLine="0"/>
        <w:jc w:val="left"/>
        <w:rPr>
          <w:rFonts w:ascii="Arial Narrow" w:hAnsi="Arial Narrow"/>
          <w:sz w:val="22"/>
          <w:szCs w:val="22"/>
        </w:rPr>
      </w:pPr>
    </w:p>
    <w:p w:rsidR="00B83815" w:rsidRPr="004F5037" w:rsidRDefault="00B83815" w:rsidP="00B83815">
      <w:pPr>
        <w:pStyle w:val="Sangradetextonormal"/>
        <w:ind w:firstLine="876"/>
        <w:rPr>
          <w:rFonts w:ascii="Arial Narrow" w:hAnsi="Arial Narrow"/>
          <w:sz w:val="22"/>
          <w:szCs w:val="22"/>
        </w:rPr>
      </w:pPr>
      <w:r w:rsidRPr="004F5037">
        <w:rPr>
          <w:rFonts w:ascii="Arial Narrow" w:hAnsi="Arial Narrow"/>
          <w:sz w:val="22"/>
          <w:szCs w:val="22"/>
        </w:rPr>
        <w:t xml:space="preserve">Las exportaciones de bienes </w:t>
      </w:r>
      <w:r w:rsidR="006D05E7">
        <w:rPr>
          <w:rFonts w:ascii="Arial Narrow" w:hAnsi="Arial Narrow"/>
          <w:sz w:val="22"/>
          <w:szCs w:val="22"/>
        </w:rPr>
        <w:t>se ubicaron en 409 mil 494</w:t>
      </w:r>
      <w:r w:rsidRPr="004F5037">
        <w:rPr>
          <w:rFonts w:ascii="Arial Narrow" w:hAnsi="Arial Narrow"/>
          <w:sz w:val="22"/>
          <w:szCs w:val="22"/>
        </w:rPr>
        <w:t xml:space="preserve"> millones de dólares, lo que implica una</w:t>
      </w:r>
      <w:r w:rsidR="006D05E7">
        <w:rPr>
          <w:rFonts w:ascii="Arial Narrow" w:hAnsi="Arial Narrow"/>
          <w:sz w:val="22"/>
          <w:szCs w:val="22"/>
        </w:rPr>
        <w:t xml:space="preserve"> expansión</w:t>
      </w:r>
      <w:r w:rsidRPr="004F5037">
        <w:rPr>
          <w:rFonts w:ascii="Arial Narrow" w:hAnsi="Arial Narrow"/>
          <w:sz w:val="22"/>
          <w:szCs w:val="22"/>
        </w:rPr>
        <w:t xml:space="preserve"> </w:t>
      </w:r>
      <w:r w:rsidR="006D05E7">
        <w:rPr>
          <w:rFonts w:ascii="Arial Narrow" w:hAnsi="Arial Narrow"/>
          <w:sz w:val="22"/>
          <w:szCs w:val="22"/>
        </w:rPr>
        <w:t>anual de 9.5</w:t>
      </w:r>
      <w:r w:rsidRPr="004F5037">
        <w:rPr>
          <w:rFonts w:ascii="Arial Narrow" w:hAnsi="Arial Narrow"/>
          <w:sz w:val="22"/>
          <w:szCs w:val="22"/>
        </w:rPr>
        <w:t xml:space="preserve"> por ciento. Por componentes, las exportacione</w:t>
      </w:r>
      <w:r w:rsidR="006D05E7">
        <w:rPr>
          <w:rFonts w:ascii="Arial Narrow" w:hAnsi="Arial Narrow"/>
          <w:sz w:val="22"/>
          <w:szCs w:val="22"/>
        </w:rPr>
        <w:t>s de manufacturas</w:t>
      </w:r>
      <w:r w:rsidRPr="004F5037">
        <w:rPr>
          <w:rFonts w:ascii="Arial Narrow" w:hAnsi="Arial Narrow"/>
          <w:sz w:val="22"/>
          <w:szCs w:val="22"/>
        </w:rPr>
        <w:t xml:space="preserve"> crecie</w:t>
      </w:r>
      <w:r>
        <w:rPr>
          <w:rFonts w:ascii="Arial Narrow" w:hAnsi="Arial Narrow"/>
          <w:sz w:val="22"/>
          <w:szCs w:val="22"/>
        </w:rPr>
        <w:t xml:space="preserve">ron a </w:t>
      </w:r>
      <w:r w:rsidR="006D05E7">
        <w:rPr>
          <w:rFonts w:ascii="Arial Narrow" w:hAnsi="Arial Narrow"/>
          <w:sz w:val="22"/>
          <w:szCs w:val="22"/>
        </w:rPr>
        <w:t>una tasa anual de 8.5</w:t>
      </w:r>
      <w:r w:rsidR="007A53B7">
        <w:rPr>
          <w:rFonts w:ascii="Arial Narrow" w:hAnsi="Arial Narrow"/>
          <w:sz w:val="22"/>
          <w:szCs w:val="22"/>
        </w:rPr>
        <w:t xml:space="preserve"> por ciento</w:t>
      </w:r>
      <w:r w:rsidRPr="004F5037">
        <w:rPr>
          <w:rFonts w:ascii="Arial Narrow" w:hAnsi="Arial Narrow"/>
          <w:sz w:val="22"/>
          <w:szCs w:val="22"/>
        </w:rPr>
        <w:t>, en tanto que</w:t>
      </w:r>
      <w:r>
        <w:rPr>
          <w:rFonts w:ascii="Arial Narrow" w:hAnsi="Arial Narrow"/>
          <w:sz w:val="22"/>
          <w:szCs w:val="22"/>
        </w:rPr>
        <w:t xml:space="preserve"> las</w:t>
      </w:r>
      <w:r w:rsidR="006D05E7">
        <w:rPr>
          <w:rFonts w:ascii="Arial Narrow" w:hAnsi="Arial Narrow"/>
          <w:sz w:val="22"/>
          <w:szCs w:val="22"/>
        </w:rPr>
        <w:t xml:space="preserve"> agropecuarias y las</w:t>
      </w:r>
      <w:r>
        <w:rPr>
          <w:rFonts w:ascii="Arial Narrow" w:hAnsi="Arial Narrow"/>
          <w:sz w:val="22"/>
          <w:szCs w:val="22"/>
        </w:rPr>
        <w:t xml:space="preserve"> extractivas</w:t>
      </w:r>
      <w:r w:rsidR="006D05E7">
        <w:rPr>
          <w:rFonts w:ascii="Arial Narrow" w:hAnsi="Arial Narrow"/>
          <w:sz w:val="22"/>
          <w:szCs w:val="22"/>
        </w:rPr>
        <w:t xml:space="preserve"> se incrementaron en 8.9 y 24.2</w:t>
      </w:r>
      <w:r>
        <w:rPr>
          <w:rFonts w:ascii="Arial Narrow" w:hAnsi="Arial Narrow"/>
          <w:sz w:val="22"/>
          <w:szCs w:val="22"/>
        </w:rPr>
        <w:t xml:space="preserve"> por ciento</w:t>
      </w:r>
      <w:r w:rsidR="007A53B7">
        <w:rPr>
          <w:rFonts w:ascii="Arial Narrow" w:hAnsi="Arial Narrow"/>
          <w:sz w:val="22"/>
          <w:szCs w:val="22"/>
        </w:rPr>
        <w:t>, respectivamente</w:t>
      </w:r>
      <w:r>
        <w:rPr>
          <w:rFonts w:ascii="Arial Narrow" w:hAnsi="Arial Narrow"/>
          <w:sz w:val="22"/>
          <w:szCs w:val="22"/>
        </w:rPr>
        <w:t>.</w:t>
      </w:r>
      <w:r w:rsidRPr="004F5037">
        <w:rPr>
          <w:rFonts w:ascii="Arial Narrow" w:hAnsi="Arial Narrow"/>
          <w:sz w:val="22"/>
          <w:szCs w:val="22"/>
        </w:rPr>
        <w:t xml:space="preserve"> </w:t>
      </w:r>
      <w:r>
        <w:rPr>
          <w:rFonts w:ascii="Arial Narrow" w:hAnsi="Arial Narrow"/>
          <w:sz w:val="22"/>
          <w:szCs w:val="22"/>
        </w:rPr>
        <w:t>Así mismo, l</w:t>
      </w:r>
      <w:r w:rsidRPr="004F5037">
        <w:rPr>
          <w:rFonts w:ascii="Arial Narrow" w:hAnsi="Arial Narrow"/>
          <w:sz w:val="22"/>
          <w:szCs w:val="22"/>
        </w:rPr>
        <w:t>as ventas al exterior de prod</w:t>
      </w:r>
      <w:r w:rsidR="006D05E7">
        <w:rPr>
          <w:rFonts w:ascii="Arial Narrow" w:hAnsi="Arial Narrow"/>
          <w:sz w:val="22"/>
          <w:szCs w:val="22"/>
        </w:rPr>
        <w:t>uctos petroleros aumentaron 25.5</w:t>
      </w:r>
      <w:r w:rsidRPr="004F5037">
        <w:rPr>
          <w:rFonts w:ascii="Arial Narrow" w:hAnsi="Arial Narrow"/>
          <w:sz w:val="22"/>
          <w:szCs w:val="22"/>
        </w:rPr>
        <w:t xml:space="preserve"> por ciento.</w:t>
      </w:r>
    </w:p>
    <w:p w:rsidR="00B83815" w:rsidRPr="004F5037" w:rsidRDefault="00B83815" w:rsidP="00B83815">
      <w:pPr>
        <w:pStyle w:val="Sangradetextonormal"/>
        <w:ind w:left="539" w:firstLine="0"/>
        <w:jc w:val="left"/>
        <w:rPr>
          <w:rFonts w:ascii="Arial Narrow" w:hAnsi="Arial Narrow"/>
          <w:sz w:val="22"/>
          <w:szCs w:val="22"/>
        </w:rPr>
      </w:pPr>
    </w:p>
    <w:p w:rsidR="00055088" w:rsidRDefault="00B83815" w:rsidP="00B83815">
      <w:pPr>
        <w:pStyle w:val="Sangradetextonormal"/>
        <w:ind w:firstLine="876"/>
        <w:rPr>
          <w:rFonts w:ascii="Arial Narrow" w:hAnsi="Arial Narrow"/>
          <w:sz w:val="22"/>
          <w:szCs w:val="22"/>
        </w:rPr>
      </w:pPr>
      <w:r w:rsidRPr="004F5037">
        <w:rPr>
          <w:rFonts w:ascii="Arial Narrow" w:hAnsi="Arial Narrow"/>
          <w:sz w:val="22"/>
          <w:szCs w:val="22"/>
        </w:rPr>
        <w:t xml:space="preserve">Por su parte, </w:t>
      </w:r>
      <w:r w:rsidR="006D05E7">
        <w:rPr>
          <w:rFonts w:ascii="Arial Narrow" w:hAnsi="Arial Narrow"/>
          <w:sz w:val="22"/>
          <w:szCs w:val="22"/>
        </w:rPr>
        <w:t>en 2017</w:t>
      </w:r>
      <w:r w:rsidRPr="004F5037">
        <w:rPr>
          <w:rFonts w:ascii="Arial Narrow" w:hAnsi="Arial Narrow"/>
          <w:sz w:val="22"/>
          <w:szCs w:val="22"/>
        </w:rPr>
        <w:t>, el valor nominal de las import</w:t>
      </w:r>
      <w:r w:rsidR="006D05E7">
        <w:rPr>
          <w:rFonts w:ascii="Arial Narrow" w:hAnsi="Arial Narrow"/>
          <w:sz w:val="22"/>
          <w:szCs w:val="22"/>
        </w:rPr>
        <w:t>aciones de mercancías fue de 420</w:t>
      </w:r>
      <w:r w:rsidRPr="004F5037">
        <w:rPr>
          <w:rFonts w:ascii="Arial Narrow" w:hAnsi="Arial Narrow"/>
          <w:sz w:val="22"/>
          <w:szCs w:val="22"/>
        </w:rPr>
        <w:t xml:space="preserve"> mil</w:t>
      </w:r>
      <w:r w:rsidR="006D05E7">
        <w:rPr>
          <w:rFonts w:ascii="Arial Narrow" w:hAnsi="Arial Narrow"/>
          <w:sz w:val="22"/>
          <w:szCs w:val="22"/>
        </w:rPr>
        <w:t xml:space="preserve"> 369</w:t>
      </w:r>
      <w:r w:rsidRPr="004F5037">
        <w:rPr>
          <w:rFonts w:ascii="Arial Narrow" w:hAnsi="Arial Narrow"/>
          <w:sz w:val="22"/>
          <w:szCs w:val="22"/>
        </w:rPr>
        <w:t xml:space="preserve"> millones de dólares, mo</w:t>
      </w:r>
      <w:r>
        <w:rPr>
          <w:rFonts w:ascii="Arial Narrow" w:hAnsi="Arial Narrow"/>
          <w:sz w:val="22"/>
          <w:szCs w:val="22"/>
        </w:rPr>
        <w:t>nto que repre</w:t>
      </w:r>
      <w:r w:rsidR="006D05E7">
        <w:rPr>
          <w:rFonts w:ascii="Arial Narrow" w:hAnsi="Arial Narrow"/>
          <w:sz w:val="22"/>
          <w:szCs w:val="22"/>
        </w:rPr>
        <w:t>senta un incremento anual de 8.6</w:t>
      </w:r>
      <w:r w:rsidRPr="004F5037">
        <w:rPr>
          <w:rFonts w:ascii="Arial Narrow" w:hAnsi="Arial Narrow"/>
          <w:sz w:val="22"/>
          <w:szCs w:val="22"/>
        </w:rPr>
        <w:t xml:space="preserve"> por ciento. </w:t>
      </w:r>
    </w:p>
    <w:p w:rsidR="00055088" w:rsidRDefault="00055088" w:rsidP="00B83815">
      <w:pPr>
        <w:pStyle w:val="Sangradetextonormal"/>
        <w:ind w:firstLine="876"/>
        <w:rPr>
          <w:rFonts w:ascii="Arial Narrow" w:hAnsi="Arial Narrow"/>
          <w:sz w:val="22"/>
          <w:szCs w:val="22"/>
        </w:rPr>
      </w:pPr>
    </w:p>
    <w:p w:rsidR="00B83815" w:rsidRPr="004F5037" w:rsidRDefault="00B83815" w:rsidP="00B83815">
      <w:pPr>
        <w:pStyle w:val="Sangradetextonormal"/>
        <w:ind w:firstLine="876"/>
        <w:rPr>
          <w:rFonts w:ascii="Arial Narrow" w:hAnsi="Arial Narrow"/>
          <w:sz w:val="22"/>
          <w:szCs w:val="22"/>
        </w:rPr>
      </w:pPr>
      <w:r w:rsidRPr="004F5037">
        <w:rPr>
          <w:rFonts w:ascii="Arial Narrow" w:hAnsi="Arial Narrow"/>
          <w:sz w:val="22"/>
          <w:szCs w:val="22"/>
        </w:rPr>
        <w:t>Las imp</w:t>
      </w:r>
      <w:r>
        <w:rPr>
          <w:rFonts w:ascii="Arial Narrow" w:hAnsi="Arial Narrow"/>
          <w:sz w:val="22"/>
          <w:szCs w:val="22"/>
        </w:rPr>
        <w:t>or</w:t>
      </w:r>
      <w:r w:rsidR="007A53B7">
        <w:rPr>
          <w:rFonts w:ascii="Arial Narrow" w:hAnsi="Arial Narrow"/>
          <w:sz w:val="22"/>
          <w:szCs w:val="22"/>
        </w:rPr>
        <w:t xml:space="preserve">taciones de bienes de consumo, </w:t>
      </w:r>
      <w:r>
        <w:rPr>
          <w:rFonts w:ascii="Arial Narrow" w:hAnsi="Arial Narrow"/>
          <w:sz w:val="22"/>
          <w:szCs w:val="22"/>
        </w:rPr>
        <w:t>intermedias</w:t>
      </w:r>
      <w:r w:rsidR="007A53B7">
        <w:rPr>
          <w:rFonts w:ascii="Arial Narrow" w:hAnsi="Arial Narrow"/>
          <w:sz w:val="22"/>
          <w:szCs w:val="22"/>
        </w:rPr>
        <w:t xml:space="preserve"> y de capital </w:t>
      </w:r>
      <w:r w:rsidR="006D05E7">
        <w:rPr>
          <w:rFonts w:ascii="Arial Narrow" w:hAnsi="Arial Narrow"/>
          <w:sz w:val="22"/>
          <w:szCs w:val="22"/>
        </w:rPr>
        <w:t>crecieron a tasas anuales de 10.4, 9.0 y 3.2</w:t>
      </w:r>
      <w:r w:rsidR="007A53B7">
        <w:rPr>
          <w:rFonts w:ascii="Arial Narrow" w:hAnsi="Arial Narrow"/>
          <w:sz w:val="22"/>
          <w:szCs w:val="22"/>
        </w:rPr>
        <w:t xml:space="preserve"> por ciento, respectivamente.</w:t>
      </w:r>
    </w:p>
    <w:p w:rsidR="00B83815" w:rsidRPr="00992D26" w:rsidRDefault="00B83815" w:rsidP="00B83815">
      <w:pPr>
        <w:pStyle w:val="Sangradetextonormal"/>
        <w:ind w:firstLine="0"/>
        <w:rPr>
          <w:rFonts w:ascii="Arial Narrow" w:hAnsi="Arial Narrow"/>
          <w:sz w:val="25"/>
        </w:rPr>
      </w:pPr>
    </w:p>
    <w:p w:rsidR="00B83815" w:rsidRPr="002C3B5A"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2C3B5A">
        <w:rPr>
          <w:rFonts w:ascii="Arial Narrow" w:hAnsi="Arial Narrow"/>
          <w:b/>
          <w:bCs/>
          <w:szCs w:val="28"/>
        </w:rPr>
        <w:t>Tipo de Cambio</w:t>
      </w:r>
    </w:p>
    <w:p w:rsidR="00B83815" w:rsidRPr="00992D26" w:rsidRDefault="00B83815" w:rsidP="00B83815">
      <w:pPr>
        <w:pStyle w:val="Sangradetextonormal"/>
        <w:ind w:left="540" w:firstLine="0"/>
        <w:jc w:val="left"/>
        <w:rPr>
          <w:rFonts w:ascii="Arial Narrow" w:hAnsi="Arial Narrow"/>
          <w:b/>
          <w:bCs/>
          <w:sz w:val="32"/>
          <w:szCs w:val="32"/>
        </w:rPr>
      </w:pPr>
    </w:p>
    <w:p w:rsidR="00582B4A" w:rsidRPr="002C3B5A" w:rsidRDefault="00B83815" w:rsidP="000101A9">
      <w:pPr>
        <w:pStyle w:val="Sangradetextonormal"/>
        <w:ind w:firstLine="876"/>
        <w:rPr>
          <w:rFonts w:ascii="Arial Narrow" w:hAnsi="Arial Narrow"/>
          <w:sz w:val="22"/>
          <w:szCs w:val="22"/>
        </w:rPr>
      </w:pPr>
      <w:r w:rsidRPr="002C3B5A">
        <w:rPr>
          <w:rFonts w:ascii="Arial Narrow" w:hAnsi="Arial Narrow"/>
          <w:sz w:val="22"/>
          <w:szCs w:val="22"/>
        </w:rPr>
        <w:t>Durante el cuarto t</w:t>
      </w:r>
      <w:r w:rsidR="000101A9">
        <w:rPr>
          <w:rFonts w:ascii="Arial Narrow" w:hAnsi="Arial Narrow"/>
          <w:sz w:val="22"/>
          <w:szCs w:val="22"/>
        </w:rPr>
        <w:t>rimestre de 2017</w:t>
      </w:r>
      <w:r w:rsidRPr="002C3B5A">
        <w:rPr>
          <w:rFonts w:ascii="Arial Narrow" w:hAnsi="Arial Narrow"/>
          <w:sz w:val="22"/>
          <w:szCs w:val="22"/>
        </w:rPr>
        <w:t xml:space="preserve">, </w:t>
      </w:r>
      <w:r w:rsidR="000101A9" w:rsidRPr="000101A9">
        <w:rPr>
          <w:rFonts w:ascii="Arial Narrow" w:hAnsi="Arial Narrow"/>
          <w:sz w:val="22"/>
          <w:szCs w:val="22"/>
        </w:rPr>
        <w:t>se observó una depreciación del peso</w:t>
      </w:r>
      <w:r w:rsidR="000101A9">
        <w:rPr>
          <w:rFonts w:ascii="Arial Narrow" w:hAnsi="Arial Narrow"/>
          <w:sz w:val="22"/>
          <w:szCs w:val="22"/>
        </w:rPr>
        <w:t xml:space="preserve"> </w:t>
      </w:r>
      <w:r w:rsidR="000101A9" w:rsidRPr="000101A9">
        <w:rPr>
          <w:rFonts w:ascii="Arial Narrow" w:hAnsi="Arial Narrow"/>
          <w:sz w:val="22"/>
          <w:szCs w:val="22"/>
        </w:rPr>
        <w:t>mexicano, debido a la fortaleza generalizada mostrada por el dólar frente a la mayoría de las</w:t>
      </w:r>
      <w:r w:rsidR="000101A9">
        <w:rPr>
          <w:rFonts w:ascii="Arial Narrow" w:hAnsi="Arial Narrow"/>
          <w:sz w:val="22"/>
          <w:szCs w:val="22"/>
        </w:rPr>
        <w:t xml:space="preserve"> </w:t>
      </w:r>
      <w:r w:rsidR="000101A9" w:rsidRPr="000101A9">
        <w:rPr>
          <w:rFonts w:ascii="Arial Narrow" w:hAnsi="Arial Narrow"/>
          <w:sz w:val="22"/>
          <w:szCs w:val="22"/>
        </w:rPr>
        <w:t xml:space="preserve">divisas del mundo, asociada a su vez al incremento en las tasas de interés de </w:t>
      </w:r>
      <w:r w:rsidR="000101A9">
        <w:rPr>
          <w:rFonts w:ascii="Arial Narrow" w:hAnsi="Arial Narrow"/>
          <w:sz w:val="22"/>
          <w:szCs w:val="22"/>
        </w:rPr>
        <w:t xml:space="preserve">los </w:t>
      </w:r>
      <w:r w:rsidR="000101A9" w:rsidRPr="000101A9">
        <w:rPr>
          <w:rFonts w:ascii="Arial Narrow" w:hAnsi="Arial Narrow"/>
          <w:sz w:val="22"/>
          <w:szCs w:val="22"/>
        </w:rPr>
        <w:t>Estados Unidos</w:t>
      </w:r>
      <w:r w:rsidR="000101A9">
        <w:rPr>
          <w:rFonts w:ascii="Arial Narrow" w:hAnsi="Arial Narrow"/>
          <w:sz w:val="22"/>
          <w:szCs w:val="22"/>
        </w:rPr>
        <w:t xml:space="preserve"> de América</w:t>
      </w:r>
      <w:r w:rsidR="000101A9" w:rsidRPr="000101A9">
        <w:rPr>
          <w:rFonts w:ascii="Arial Narrow" w:hAnsi="Arial Narrow"/>
          <w:sz w:val="22"/>
          <w:szCs w:val="22"/>
        </w:rPr>
        <w:t xml:space="preserve"> y la</w:t>
      </w:r>
      <w:r w:rsidR="000101A9">
        <w:rPr>
          <w:rFonts w:ascii="Arial Narrow" w:hAnsi="Arial Narrow"/>
          <w:sz w:val="22"/>
          <w:szCs w:val="22"/>
        </w:rPr>
        <w:t xml:space="preserve"> </w:t>
      </w:r>
      <w:r w:rsidR="000101A9" w:rsidRPr="000101A9">
        <w:rPr>
          <w:rFonts w:ascii="Arial Narrow" w:hAnsi="Arial Narrow"/>
          <w:sz w:val="22"/>
          <w:szCs w:val="22"/>
        </w:rPr>
        <w:t>aprobación de la reforma fiscal; así como a la mayor incertidumbre en torno al resultado del</w:t>
      </w:r>
      <w:r w:rsidR="000101A9">
        <w:rPr>
          <w:rFonts w:ascii="Arial Narrow" w:hAnsi="Arial Narrow"/>
          <w:sz w:val="22"/>
          <w:szCs w:val="22"/>
        </w:rPr>
        <w:t xml:space="preserve"> </w:t>
      </w:r>
      <w:r w:rsidR="000101A9" w:rsidRPr="000101A9">
        <w:rPr>
          <w:rFonts w:ascii="Arial Narrow" w:hAnsi="Arial Narrow"/>
          <w:sz w:val="22"/>
          <w:szCs w:val="22"/>
        </w:rPr>
        <w:t xml:space="preserve">proceso de </w:t>
      </w:r>
      <w:r w:rsidR="00277B85">
        <w:rPr>
          <w:rFonts w:ascii="Arial Narrow" w:hAnsi="Arial Narrow"/>
          <w:sz w:val="22"/>
          <w:szCs w:val="22"/>
        </w:rPr>
        <w:t>re</w:t>
      </w:r>
      <w:r w:rsidR="000101A9" w:rsidRPr="000101A9">
        <w:rPr>
          <w:rFonts w:ascii="Arial Narrow" w:hAnsi="Arial Narrow"/>
          <w:sz w:val="22"/>
          <w:szCs w:val="22"/>
        </w:rPr>
        <w:t>negociación del</w:t>
      </w:r>
      <w:r w:rsidR="000101A9">
        <w:rPr>
          <w:rFonts w:ascii="Arial Narrow" w:hAnsi="Arial Narrow"/>
          <w:sz w:val="22"/>
          <w:szCs w:val="22"/>
        </w:rPr>
        <w:t xml:space="preserve"> Tratado de Libre Comercio de América del Norte</w:t>
      </w:r>
      <w:r w:rsidR="000101A9" w:rsidRPr="000101A9">
        <w:rPr>
          <w:rFonts w:ascii="Arial Narrow" w:hAnsi="Arial Narrow"/>
          <w:sz w:val="22"/>
          <w:szCs w:val="22"/>
        </w:rPr>
        <w:t xml:space="preserve"> </w:t>
      </w:r>
      <w:r w:rsidR="000101A9">
        <w:rPr>
          <w:rFonts w:ascii="Arial Narrow" w:hAnsi="Arial Narrow"/>
          <w:sz w:val="22"/>
          <w:szCs w:val="22"/>
        </w:rPr>
        <w:t>(</w:t>
      </w:r>
      <w:r w:rsidR="000101A9" w:rsidRPr="000101A9">
        <w:rPr>
          <w:rFonts w:ascii="Arial Narrow" w:hAnsi="Arial Narrow"/>
          <w:sz w:val="22"/>
          <w:szCs w:val="22"/>
        </w:rPr>
        <w:t>TLCAN</w:t>
      </w:r>
      <w:r w:rsidR="000101A9">
        <w:rPr>
          <w:rFonts w:ascii="Arial Narrow" w:hAnsi="Arial Narrow"/>
          <w:sz w:val="22"/>
          <w:szCs w:val="22"/>
        </w:rPr>
        <w:t>)</w:t>
      </w:r>
      <w:r w:rsidR="000101A9" w:rsidRPr="000101A9">
        <w:rPr>
          <w:rFonts w:ascii="Arial Narrow" w:hAnsi="Arial Narrow"/>
          <w:sz w:val="22"/>
          <w:szCs w:val="22"/>
        </w:rPr>
        <w:t xml:space="preserve"> que generó una reducción en las posiciones de inversionistas</w:t>
      </w:r>
      <w:r w:rsidR="000101A9">
        <w:rPr>
          <w:rFonts w:ascii="Arial Narrow" w:hAnsi="Arial Narrow"/>
          <w:sz w:val="22"/>
          <w:szCs w:val="22"/>
        </w:rPr>
        <w:t xml:space="preserve"> </w:t>
      </w:r>
      <w:r w:rsidR="000101A9" w:rsidRPr="000101A9">
        <w:rPr>
          <w:rFonts w:ascii="Arial Narrow" w:hAnsi="Arial Narrow"/>
          <w:sz w:val="22"/>
          <w:szCs w:val="22"/>
        </w:rPr>
        <w:t>extranjeros y una mayor demanda por productos derivados para coberturas cambiarias</w:t>
      </w:r>
      <w:r w:rsidR="000101A9">
        <w:rPr>
          <w:rFonts w:ascii="Arial Narrow" w:hAnsi="Arial Narrow"/>
          <w:sz w:val="22"/>
          <w:szCs w:val="22"/>
        </w:rPr>
        <w:t>.</w:t>
      </w:r>
    </w:p>
    <w:p w:rsidR="00B83815" w:rsidRDefault="00B83815" w:rsidP="00B83815">
      <w:pPr>
        <w:pStyle w:val="Sangradetextonormal"/>
        <w:ind w:firstLine="876"/>
        <w:rPr>
          <w:rFonts w:ascii="Arial Narrow" w:hAnsi="Arial Narrow"/>
          <w:sz w:val="22"/>
          <w:szCs w:val="22"/>
        </w:rPr>
      </w:pPr>
      <w:r w:rsidRPr="002C3B5A">
        <w:rPr>
          <w:rFonts w:ascii="Arial Narrow" w:hAnsi="Arial Narrow"/>
          <w:sz w:val="22"/>
          <w:szCs w:val="22"/>
        </w:rPr>
        <w:lastRenderedPageBreak/>
        <w:t>En este contexto</w:t>
      </w:r>
      <w:r w:rsidR="000101A9">
        <w:rPr>
          <w:rFonts w:ascii="Arial Narrow" w:hAnsi="Arial Narrow"/>
          <w:sz w:val="22"/>
          <w:szCs w:val="22"/>
        </w:rPr>
        <w:t>, al cierre de diciembre de 2017</w:t>
      </w:r>
      <w:r w:rsidRPr="002C3B5A">
        <w:rPr>
          <w:rFonts w:ascii="Arial Narrow" w:hAnsi="Arial Narrow"/>
          <w:sz w:val="22"/>
          <w:szCs w:val="22"/>
        </w:rPr>
        <w:t xml:space="preserve">, el </w:t>
      </w:r>
      <w:r>
        <w:rPr>
          <w:rFonts w:ascii="Arial Narrow" w:hAnsi="Arial Narrow"/>
          <w:sz w:val="22"/>
          <w:szCs w:val="22"/>
        </w:rPr>
        <w:t>tipo de cambio se ubicó en</w:t>
      </w:r>
      <w:r w:rsidR="000101A9">
        <w:rPr>
          <w:rFonts w:ascii="Arial Narrow" w:hAnsi="Arial Narrow"/>
          <w:sz w:val="22"/>
          <w:szCs w:val="22"/>
        </w:rPr>
        <w:t xml:space="preserve"> 19.66</w:t>
      </w:r>
      <w:r w:rsidRPr="002C3B5A">
        <w:rPr>
          <w:rFonts w:ascii="Arial Narrow" w:hAnsi="Arial Narrow"/>
          <w:sz w:val="22"/>
          <w:szCs w:val="22"/>
        </w:rPr>
        <w:t xml:space="preserve"> pesos por dólar, lo q</w:t>
      </w:r>
      <w:r w:rsidR="000101A9">
        <w:rPr>
          <w:rFonts w:ascii="Arial Narrow" w:hAnsi="Arial Narrow"/>
          <w:sz w:val="22"/>
          <w:szCs w:val="22"/>
        </w:rPr>
        <w:t>ue implicó una depreciación de 7</w:t>
      </w:r>
      <w:r w:rsidR="00582B4A">
        <w:rPr>
          <w:rFonts w:ascii="Arial Narrow" w:hAnsi="Arial Narrow"/>
          <w:sz w:val="22"/>
          <w:szCs w:val="22"/>
        </w:rPr>
        <w:t>.5</w:t>
      </w:r>
      <w:r w:rsidRPr="002C3B5A">
        <w:rPr>
          <w:rFonts w:ascii="Arial Narrow" w:hAnsi="Arial Narrow"/>
          <w:sz w:val="22"/>
          <w:szCs w:val="22"/>
        </w:rPr>
        <w:t xml:space="preserve"> por ciento respecto al nivel reportado al cierre de </w:t>
      </w:r>
      <w:r w:rsidR="000101A9">
        <w:rPr>
          <w:rFonts w:ascii="Arial Narrow" w:hAnsi="Arial Narrow"/>
          <w:sz w:val="22"/>
          <w:szCs w:val="22"/>
        </w:rPr>
        <w:t>septiembre (18.1</w:t>
      </w:r>
      <w:r w:rsidR="00E55A29">
        <w:rPr>
          <w:rFonts w:ascii="Arial Narrow" w:hAnsi="Arial Narrow"/>
          <w:sz w:val="22"/>
          <w:szCs w:val="22"/>
        </w:rPr>
        <w:t>8</w:t>
      </w:r>
      <w:r w:rsidRPr="002C3B5A">
        <w:rPr>
          <w:rFonts w:ascii="Arial Narrow" w:hAnsi="Arial Narrow"/>
          <w:sz w:val="22"/>
          <w:szCs w:val="22"/>
        </w:rPr>
        <w:t xml:space="preserve"> pesos por dólar). </w:t>
      </w:r>
    </w:p>
    <w:p w:rsidR="00F759B1" w:rsidRPr="002C3B5A" w:rsidRDefault="00F759B1" w:rsidP="00B83815">
      <w:pPr>
        <w:pStyle w:val="Sangradetextonormal"/>
        <w:ind w:firstLine="876"/>
        <w:rPr>
          <w:rFonts w:ascii="Arial Narrow" w:hAnsi="Arial Narrow"/>
          <w:sz w:val="22"/>
          <w:szCs w:val="22"/>
        </w:rPr>
      </w:pPr>
    </w:p>
    <w:p w:rsidR="00B83815" w:rsidRPr="002C3B5A" w:rsidRDefault="00E55A29" w:rsidP="00B83815">
      <w:pPr>
        <w:pStyle w:val="Sangradetextonormal"/>
        <w:ind w:firstLine="876"/>
        <w:rPr>
          <w:rFonts w:ascii="Arial Narrow" w:hAnsi="Arial Narrow"/>
          <w:sz w:val="22"/>
          <w:szCs w:val="22"/>
        </w:rPr>
      </w:pPr>
      <w:r>
        <w:rPr>
          <w:rFonts w:ascii="Arial Narrow" w:hAnsi="Arial Narrow"/>
          <w:sz w:val="22"/>
          <w:szCs w:val="22"/>
        </w:rPr>
        <w:t xml:space="preserve">Al respecto, </w:t>
      </w:r>
      <w:r w:rsidR="000101A9">
        <w:rPr>
          <w:rFonts w:ascii="Arial Narrow" w:hAnsi="Arial Narrow"/>
          <w:sz w:val="22"/>
          <w:szCs w:val="22"/>
        </w:rPr>
        <w:t>el peso mexicano ha superado el desempeño de la mayoría de monedas emergentes e inclusive se apreció de manera significativa frente al dólar estadounidense durante 2017 en relación con el cierre de 2016, cuya fortaleza se atribuye en mayor medida a la postura monetaria y al compromiso de las autoridades mexicanas con la consolidación fiscal.</w:t>
      </w:r>
    </w:p>
    <w:p w:rsidR="00B83815" w:rsidRPr="002C3B5A" w:rsidRDefault="00B83815" w:rsidP="00B83815">
      <w:pPr>
        <w:pStyle w:val="Sangradetextonormal"/>
        <w:ind w:firstLine="876"/>
        <w:rPr>
          <w:rFonts w:ascii="Arial Narrow" w:hAnsi="Arial Narrow"/>
          <w:sz w:val="22"/>
          <w:szCs w:val="22"/>
        </w:rPr>
      </w:pPr>
    </w:p>
    <w:p w:rsidR="00B83815" w:rsidRPr="002C3B5A" w:rsidRDefault="00B83815" w:rsidP="00B83815">
      <w:pPr>
        <w:pStyle w:val="Sangradetextonormal"/>
        <w:ind w:firstLine="876"/>
        <w:rPr>
          <w:rFonts w:ascii="Arial Narrow" w:hAnsi="Arial Narrow"/>
          <w:sz w:val="22"/>
          <w:szCs w:val="22"/>
        </w:rPr>
      </w:pPr>
      <w:r w:rsidRPr="002C3B5A">
        <w:rPr>
          <w:rFonts w:ascii="Arial Narrow" w:hAnsi="Arial Narrow"/>
          <w:sz w:val="22"/>
          <w:szCs w:val="22"/>
        </w:rPr>
        <w:t>Al térm</w:t>
      </w:r>
      <w:r w:rsidR="0065494D">
        <w:rPr>
          <w:rFonts w:ascii="Arial Narrow" w:hAnsi="Arial Narrow"/>
          <w:sz w:val="22"/>
          <w:szCs w:val="22"/>
        </w:rPr>
        <w:t>ino del cuarto trimestre de 2017</w:t>
      </w:r>
      <w:r w:rsidRPr="002C3B5A">
        <w:rPr>
          <w:rFonts w:ascii="Arial Narrow" w:hAnsi="Arial Narrow"/>
          <w:sz w:val="22"/>
          <w:szCs w:val="22"/>
        </w:rPr>
        <w:t xml:space="preserve">, en línea con el tipo de cambio observado, las cotizaciones de los contratos de los futuros del peso mexicano en la Bolsa Mercantil de Chicago registraron un tipo de cambio superior al observado al finalizar el tercer trimestre del año. </w:t>
      </w:r>
    </w:p>
    <w:p w:rsidR="00B83815" w:rsidRPr="002C3B5A" w:rsidRDefault="00B83815" w:rsidP="00B83815">
      <w:pPr>
        <w:pStyle w:val="Sangradetextonormal"/>
        <w:ind w:firstLine="876"/>
        <w:rPr>
          <w:rFonts w:ascii="Arial Narrow" w:hAnsi="Arial Narrow"/>
          <w:sz w:val="22"/>
          <w:szCs w:val="22"/>
        </w:rPr>
      </w:pPr>
    </w:p>
    <w:p w:rsidR="00B83815" w:rsidRPr="002C3B5A" w:rsidRDefault="00B83815" w:rsidP="00B83815">
      <w:pPr>
        <w:pStyle w:val="Sangradetextonormal"/>
        <w:ind w:firstLine="876"/>
        <w:rPr>
          <w:rFonts w:ascii="Arial Narrow" w:hAnsi="Arial Narrow"/>
          <w:sz w:val="22"/>
          <w:szCs w:val="22"/>
        </w:rPr>
      </w:pPr>
      <w:r w:rsidRPr="002C3B5A">
        <w:rPr>
          <w:rFonts w:ascii="Arial Narrow" w:hAnsi="Arial Narrow"/>
          <w:sz w:val="22"/>
          <w:szCs w:val="22"/>
        </w:rPr>
        <w:t>Al ci</w:t>
      </w:r>
      <w:r w:rsidR="0065494D">
        <w:rPr>
          <w:rFonts w:ascii="Arial Narrow" w:hAnsi="Arial Narrow"/>
          <w:sz w:val="22"/>
          <w:szCs w:val="22"/>
        </w:rPr>
        <w:t>erre del 29 de diciembre de 2017</w:t>
      </w:r>
      <w:r w:rsidRPr="002C3B5A">
        <w:rPr>
          <w:rFonts w:ascii="Arial Narrow" w:hAnsi="Arial Narrow"/>
          <w:sz w:val="22"/>
          <w:szCs w:val="22"/>
        </w:rPr>
        <w:t>, los contratos para entreg</w:t>
      </w:r>
      <w:r w:rsidR="0065494D">
        <w:rPr>
          <w:rFonts w:ascii="Arial Narrow" w:hAnsi="Arial Narrow"/>
          <w:sz w:val="22"/>
          <w:szCs w:val="22"/>
        </w:rPr>
        <w:t xml:space="preserve">a en marzo, junio y septiembre </w:t>
      </w:r>
      <w:r w:rsidR="00D24FF5">
        <w:rPr>
          <w:rFonts w:ascii="Arial Narrow" w:hAnsi="Arial Narrow"/>
          <w:sz w:val="22"/>
          <w:szCs w:val="22"/>
        </w:rPr>
        <w:t>de 2018</w:t>
      </w:r>
      <w:r w:rsidRPr="002C3B5A">
        <w:rPr>
          <w:rFonts w:ascii="Arial Narrow" w:hAnsi="Arial Narrow"/>
          <w:sz w:val="22"/>
          <w:szCs w:val="22"/>
        </w:rPr>
        <w:t xml:space="preserve"> se</w:t>
      </w:r>
      <w:r w:rsidR="0065494D">
        <w:rPr>
          <w:rFonts w:ascii="Arial Narrow" w:hAnsi="Arial Narrow"/>
          <w:sz w:val="22"/>
          <w:szCs w:val="22"/>
        </w:rPr>
        <w:t xml:space="preserve"> depreciaron en 6.4, 6.7 y 7.0</w:t>
      </w:r>
      <w:r w:rsidRPr="002C3B5A">
        <w:rPr>
          <w:rFonts w:ascii="Arial Narrow" w:hAnsi="Arial Narrow"/>
          <w:sz w:val="22"/>
          <w:szCs w:val="22"/>
        </w:rPr>
        <w:t xml:space="preserve"> por ciento, respectivamente, con relación a las cotizaciones registradas al cierre</w:t>
      </w:r>
      <w:r w:rsidR="00A44952">
        <w:rPr>
          <w:rFonts w:ascii="Arial Narrow" w:hAnsi="Arial Narrow"/>
          <w:sz w:val="22"/>
          <w:szCs w:val="22"/>
        </w:rPr>
        <w:t xml:space="preserve"> de</w:t>
      </w:r>
      <w:r w:rsidR="0065494D">
        <w:rPr>
          <w:rFonts w:ascii="Arial Narrow" w:hAnsi="Arial Narrow"/>
          <w:sz w:val="22"/>
          <w:szCs w:val="22"/>
        </w:rPr>
        <w:t xml:space="preserve"> septiembre, ubicándose en 19.97, 20.29 y 20.63</w:t>
      </w:r>
      <w:r w:rsidRPr="002C3B5A">
        <w:rPr>
          <w:rFonts w:ascii="Arial Narrow" w:hAnsi="Arial Narrow"/>
          <w:sz w:val="22"/>
          <w:szCs w:val="22"/>
        </w:rPr>
        <w:t xml:space="preserve"> pesos por dólar, en igual orden.</w:t>
      </w:r>
    </w:p>
    <w:p w:rsidR="00B83815" w:rsidRPr="00992D26" w:rsidRDefault="00B83815" w:rsidP="00B83815">
      <w:pPr>
        <w:pStyle w:val="Sangradetextonormal"/>
        <w:ind w:firstLine="876"/>
        <w:rPr>
          <w:rFonts w:ascii="Arial Narrow" w:hAnsi="Arial Narrow"/>
          <w:sz w:val="25"/>
        </w:rPr>
      </w:pPr>
    </w:p>
    <w:p w:rsidR="00B83815" w:rsidRPr="00236348"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236348">
        <w:rPr>
          <w:rFonts w:ascii="Arial Narrow" w:hAnsi="Arial Narrow"/>
          <w:b/>
          <w:bCs/>
          <w:szCs w:val="28"/>
        </w:rPr>
        <w:t>Salarios</w:t>
      </w:r>
    </w:p>
    <w:p w:rsidR="00B83815" w:rsidRPr="00992D26" w:rsidRDefault="00B83815" w:rsidP="00B83815">
      <w:pPr>
        <w:pStyle w:val="Sangradetextonormal"/>
        <w:ind w:left="540" w:firstLine="0"/>
        <w:jc w:val="left"/>
        <w:rPr>
          <w:rFonts w:ascii="Arial Narrow" w:hAnsi="Arial Narrow"/>
          <w:b/>
          <w:bCs/>
          <w:sz w:val="32"/>
          <w:szCs w:val="32"/>
        </w:rPr>
      </w:pPr>
    </w:p>
    <w:p w:rsidR="00375C44" w:rsidRDefault="00B83815" w:rsidP="00B83815">
      <w:pPr>
        <w:pStyle w:val="Sangradetextonormal"/>
        <w:ind w:firstLine="876"/>
        <w:rPr>
          <w:rFonts w:ascii="Arial Narrow" w:hAnsi="Arial Narrow"/>
          <w:sz w:val="22"/>
          <w:szCs w:val="22"/>
        </w:rPr>
      </w:pPr>
      <w:r w:rsidRPr="00B92A61">
        <w:rPr>
          <w:rFonts w:ascii="Arial Narrow" w:hAnsi="Arial Narrow"/>
          <w:sz w:val="22"/>
          <w:szCs w:val="22"/>
        </w:rPr>
        <w:t>Durante el periodo octubre</w:t>
      </w:r>
      <w:r w:rsidR="000F763D">
        <w:rPr>
          <w:rFonts w:ascii="Arial Narrow" w:hAnsi="Arial Narrow"/>
          <w:sz w:val="22"/>
          <w:szCs w:val="22"/>
        </w:rPr>
        <w:t xml:space="preserve"> </w:t>
      </w:r>
      <w:r w:rsidRPr="00B92A61">
        <w:rPr>
          <w:rFonts w:ascii="Arial Narrow" w:hAnsi="Arial Narrow"/>
          <w:sz w:val="22"/>
          <w:szCs w:val="22"/>
        </w:rPr>
        <w:t>-</w:t>
      </w:r>
      <w:r w:rsidR="000F763D">
        <w:rPr>
          <w:rFonts w:ascii="Arial Narrow" w:hAnsi="Arial Narrow"/>
          <w:sz w:val="22"/>
          <w:szCs w:val="22"/>
        </w:rPr>
        <w:t xml:space="preserve"> </w:t>
      </w:r>
      <w:r w:rsidRPr="00B92A61">
        <w:rPr>
          <w:rFonts w:ascii="Arial Narrow" w:hAnsi="Arial Narrow"/>
          <w:sz w:val="22"/>
          <w:szCs w:val="22"/>
        </w:rPr>
        <w:t>diciemb</w:t>
      </w:r>
      <w:r w:rsidR="000F763D">
        <w:rPr>
          <w:rFonts w:ascii="Arial Narrow" w:hAnsi="Arial Narrow"/>
          <w:sz w:val="22"/>
          <w:szCs w:val="22"/>
        </w:rPr>
        <w:t>re de 2017</w:t>
      </w:r>
      <w:r w:rsidRPr="00B92A61">
        <w:rPr>
          <w:rFonts w:ascii="Arial Narrow" w:hAnsi="Arial Narrow"/>
          <w:sz w:val="22"/>
          <w:szCs w:val="22"/>
        </w:rPr>
        <w:t xml:space="preserve"> los salarios contractuales de jurisdicción federal </w:t>
      </w:r>
      <w:r>
        <w:rPr>
          <w:rFonts w:ascii="Arial Narrow" w:hAnsi="Arial Narrow"/>
          <w:sz w:val="22"/>
          <w:szCs w:val="22"/>
        </w:rPr>
        <w:t>registraron un</w:t>
      </w:r>
      <w:r w:rsidR="00B050BF">
        <w:rPr>
          <w:rFonts w:ascii="Arial Narrow" w:hAnsi="Arial Narrow"/>
          <w:sz w:val="22"/>
          <w:szCs w:val="22"/>
        </w:rPr>
        <w:t xml:space="preserve"> incremento</w:t>
      </w:r>
      <w:r w:rsidR="000F763D">
        <w:rPr>
          <w:rFonts w:ascii="Arial Narrow" w:hAnsi="Arial Narrow"/>
          <w:sz w:val="22"/>
          <w:szCs w:val="22"/>
        </w:rPr>
        <w:t xml:space="preserve"> nominal de 4.1</w:t>
      </w:r>
      <w:r w:rsidRPr="00B92A61">
        <w:rPr>
          <w:rFonts w:ascii="Arial Narrow" w:hAnsi="Arial Narrow"/>
          <w:sz w:val="22"/>
          <w:szCs w:val="22"/>
        </w:rPr>
        <w:t xml:space="preserve"> p</w:t>
      </w:r>
      <w:r w:rsidR="000F763D">
        <w:rPr>
          <w:rFonts w:ascii="Arial Narrow" w:hAnsi="Arial Narrow"/>
          <w:sz w:val="22"/>
          <w:szCs w:val="22"/>
        </w:rPr>
        <w:t>or ciento</w:t>
      </w:r>
      <w:r>
        <w:rPr>
          <w:rFonts w:ascii="Arial Narrow" w:hAnsi="Arial Narrow"/>
          <w:sz w:val="22"/>
          <w:szCs w:val="22"/>
        </w:rPr>
        <w:t xml:space="preserve">, </w:t>
      </w:r>
      <w:r w:rsidR="000F763D">
        <w:rPr>
          <w:rFonts w:ascii="Arial Narrow" w:hAnsi="Arial Narrow"/>
          <w:sz w:val="22"/>
          <w:szCs w:val="22"/>
        </w:rPr>
        <w:t>el mayor para un trimestre similar desde 2012.</w:t>
      </w:r>
    </w:p>
    <w:p w:rsidR="00375C44" w:rsidRDefault="00375C44" w:rsidP="00B83815">
      <w:pPr>
        <w:pStyle w:val="Sangradetextonormal"/>
        <w:ind w:firstLine="876"/>
        <w:rPr>
          <w:rFonts w:ascii="Arial Narrow" w:hAnsi="Arial Narrow"/>
          <w:sz w:val="22"/>
          <w:szCs w:val="22"/>
        </w:rPr>
      </w:pPr>
    </w:p>
    <w:p w:rsidR="00B83815" w:rsidRPr="00B92A61" w:rsidRDefault="00B83815" w:rsidP="00B83815">
      <w:pPr>
        <w:pStyle w:val="Sangradetextonormal"/>
        <w:ind w:firstLine="876"/>
        <w:rPr>
          <w:rFonts w:ascii="Arial Narrow" w:hAnsi="Arial Narrow"/>
          <w:sz w:val="22"/>
          <w:szCs w:val="22"/>
        </w:rPr>
      </w:pPr>
      <w:r w:rsidRPr="00B92A61">
        <w:rPr>
          <w:rFonts w:ascii="Arial Narrow" w:hAnsi="Arial Narrow"/>
          <w:sz w:val="22"/>
          <w:szCs w:val="22"/>
        </w:rPr>
        <w:t>En el bi</w:t>
      </w:r>
      <w:r w:rsidR="00375C44">
        <w:rPr>
          <w:rFonts w:ascii="Arial Narrow" w:hAnsi="Arial Narrow"/>
          <w:sz w:val="22"/>
          <w:szCs w:val="22"/>
        </w:rPr>
        <w:t>mestre octubre</w:t>
      </w:r>
      <w:r w:rsidR="000F763D">
        <w:rPr>
          <w:rFonts w:ascii="Arial Narrow" w:hAnsi="Arial Narrow"/>
          <w:sz w:val="22"/>
          <w:szCs w:val="22"/>
        </w:rPr>
        <w:t xml:space="preserve"> </w:t>
      </w:r>
      <w:r w:rsidR="00375C44">
        <w:rPr>
          <w:rFonts w:ascii="Arial Narrow" w:hAnsi="Arial Narrow"/>
          <w:sz w:val="22"/>
          <w:szCs w:val="22"/>
        </w:rPr>
        <w:t>-</w:t>
      </w:r>
      <w:r w:rsidR="000F763D">
        <w:rPr>
          <w:rFonts w:ascii="Arial Narrow" w:hAnsi="Arial Narrow"/>
          <w:sz w:val="22"/>
          <w:szCs w:val="22"/>
        </w:rPr>
        <w:t xml:space="preserve"> noviembre de 2017</w:t>
      </w:r>
      <w:r w:rsidRPr="00B92A61">
        <w:rPr>
          <w:rFonts w:ascii="Arial Narrow" w:hAnsi="Arial Narrow"/>
          <w:sz w:val="22"/>
          <w:szCs w:val="22"/>
        </w:rPr>
        <w:t xml:space="preserve"> las remuneraciones reales por persona ocupada en la industria manufacturera crecieron </w:t>
      </w:r>
      <w:r w:rsidR="000F763D">
        <w:rPr>
          <w:rFonts w:ascii="Arial Narrow" w:hAnsi="Arial Narrow"/>
          <w:sz w:val="22"/>
          <w:szCs w:val="22"/>
        </w:rPr>
        <w:t>0.5</w:t>
      </w:r>
      <w:r w:rsidRPr="00B92A61">
        <w:rPr>
          <w:rFonts w:ascii="Arial Narrow" w:hAnsi="Arial Narrow"/>
          <w:sz w:val="22"/>
          <w:szCs w:val="22"/>
        </w:rPr>
        <w:t xml:space="preserve"> por cie</w:t>
      </w:r>
      <w:r w:rsidR="00B050BF">
        <w:rPr>
          <w:rFonts w:ascii="Arial Narrow" w:hAnsi="Arial Narrow"/>
          <w:sz w:val="22"/>
          <w:szCs w:val="22"/>
        </w:rPr>
        <w:t>nto</w:t>
      </w:r>
      <w:r w:rsidR="000F763D">
        <w:rPr>
          <w:rFonts w:ascii="Arial Narrow" w:hAnsi="Arial Narrow"/>
          <w:sz w:val="22"/>
          <w:szCs w:val="22"/>
        </w:rPr>
        <w:t xml:space="preserve"> en relación a igual período del año anterior</w:t>
      </w:r>
      <w:r w:rsidR="00B050BF">
        <w:rPr>
          <w:rFonts w:ascii="Arial Narrow" w:hAnsi="Arial Narrow"/>
          <w:sz w:val="22"/>
          <w:szCs w:val="22"/>
        </w:rPr>
        <w:t>. Los salarios</w:t>
      </w:r>
      <w:r w:rsidR="000F763D">
        <w:rPr>
          <w:rFonts w:ascii="Arial Narrow" w:hAnsi="Arial Narrow"/>
          <w:sz w:val="22"/>
          <w:szCs w:val="22"/>
        </w:rPr>
        <w:t xml:space="preserve"> se incrementaron 1.9 por ciento</w:t>
      </w:r>
      <w:r w:rsidR="00B050BF">
        <w:rPr>
          <w:rFonts w:ascii="Arial Narrow" w:hAnsi="Arial Narrow"/>
          <w:sz w:val="22"/>
          <w:szCs w:val="22"/>
        </w:rPr>
        <w:t xml:space="preserve"> y</w:t>
      </w:r>
      <w:r w:rsidR="000F763D">
        <w:rPr>
          <w:rFonts w:ascii="Arial Narrow" w:hAnsi="Arial Narrow"/>
          <w:sz w:val="22"/>
          <w:szCs w:val="22"/>
        </w:rPr>
        <w:t xml:space="preserve"> los sueldos aumentaron 0.5 por ciento en comparación con el mismo período del año previo, en tanto que</w:t>
      </w:r>
      <w:r w:rsidR="00B050BF">
        <w:rPr>
          <w:rFonts w:ascii="Arial Narrow" w:hAnsi="Arial Narrow"/>
          <w:sz w:val="22"/>
          <w:szCs w:val="22"/>
        </w:rPr>
        <w:t xml:space="preserve"> las prestaciones </w:t>
      </w:r>
      <w:r w:rsidR="000F763D">
        <w:rPr>
          <w:rFonts w:ascii="Arial Narrow" w:hAnsi="Arial Narrow"/>
          <w:sz w:val="22"/>
          <w:szCs w:val="22"/>
        </w:rPr>
        <w:t>sociales se redujeron 1.6 por ciento.</w:t>
      </w:r>
      <w:r w:rsidRPr="00B92A61">
        <w:rPr>
          <w:rFonts w:ascii="Arial Narrow" w:hAnsi="Arial Narrow"/>
          <w:sz w:val="22"/>
          <w:szCs w:val="22"/>
        </w:rPr>
        <w:t xml:space="preserve">  </w:t>
      </w:r>
    </w:p>
    <w:p w:rsidR="00B83815" w:rsidRPr="00992D26" w:rsidRDefault="00B83815" w:rsidP="00B83815">
      <w:pPr>
        <w:pStyle w:val="Sangradetextonormal"/>
        <w:ind w:firstLine="876"/>
        <w:rPr>
          <w:rFonts w:ascii="Arial Narrow" w:hAnsi="Arial Narrow"/>
          <w:sz w:val="25"/>
        </w:rPr>
      </w:pPr>
    </w:p>
    <w:p w:rsidR="00B83815" w:rsidRPr="00B92A61" w:rsidRDefault="00B83815" w:rsidP="00B83815">
      <w:pPr>
        <w:pStyle w:val="Sangradetextonormal"/>
        <w:ind w:firstLine="876"/>
        <w:rPr>
          <w:rFonts w:ascii="Arial Narrow" w:hAnsi="Arial Narrow"/>
          <w:sz w:val="22"/>
          <w:szCs w:val="22"/>
        </w:rPr>
      </w:pPr>
      <w:r w:rsidRPr="00B92A61">
        <w:rPr>
          <w:rFonts w:ascii="Arial Narrow" w:hAnsi="Arial Narrow"/>
          <w:sz w:val="22"/>
          <w:szCs w:val="22"/>
        </w:rPr>
        <w:lastRenderedPageBreak/>
        <w:t>A lo largo del mismo periodo, las remuneraciones r</w:t>
      </w:r>
      <w:r>
        <w:rPr>
          <w:rFonts w:ascii="Arial Narrow" w:hAnsi="Arial Narrow"/>
          <w:sz w:val="22"/>
          <w:szCs w:val="22"/>
        </w:rPr>
        <w:t>eales del personal ocupado en los</w:t>
      </w:r>
      <w:r w:rsidR="00B050BF">
        <w:rPr>
          <w:rFonts w:ascii="Arial Narrow" w:hAnsi="Arial Narrow"/>
          <w:sz w:val="22"/>
          <w:szCs w:val="22"/>
        </w:rPr>
        <w:t xml:space="preserve"> establecimientos comerciales</w:t>
      </w:r>
      <w:r>
        <w:rPr>
          <w:rFonts w:ascii="Arial Narrow" w:hAnsi="Arial Narrow"/>
          <w:sz w:val="22"/>
          <w:szCs w:val="22"/>
        </w:rPr>
        <w:t xml:space="preserve"> al menudeo</w:t>
      </w:r>
      <w:r w:rsidRPr="00B92A61">
        <w:rPr>
          <w:rFonts w:ascii="Arial Narrow" w:hAnsi="Arial Narrow"/>
          <w:sz w:val="22"/>
          <w:szCs w:val="22"/>
        </w:rPr>
        <w:t xml:space="preserve"> </w:t>
      </w:r>
      <w:r>
        <w:rPr>
          <w:rFonts w:ascii="Arial Narrow" w:hAnsi="Arial Narrow"/>
          <w:sz w:val="22"/>
          <w:szCs w:val="22"/>
        </w:rPr>
        <w:t>cr</w:t>
      </w:r>
      <w:r w:rsidR="000F763D">
        <w:rPr>
          <w:rFonts w:ascii="Arial Narrow" w:hAnsi="Arial Narrow"/>
          <w:sz w:val="22"/>
          <w:szCs w:val="22"/>
        </w:rPr>
        <w:t>ecieron 4.1</w:t>
      </w:r>
      <w:r w:rsidRPr="00B92A61">
        <w:rPr>
          <w:rFonts w:ascii="Arial Narrow" w:hAnsi="Arial Narrow"/>
          <w:sz w:val="22"/>
          <w:szCs w:val="22"/>
        </w:rPr>
        <w:t xml:space="preserve"> por cien</w:t>
      </w:r>
      <w:r>
        <w:rPr>
          <w:rFonts w:ascii="Arial Narrow" w:hAnsi="Arial Narrow"/>
          <w:sz w:val="22"/>
          <w:szCs w:val="22"/>
        </w:rPr>
        <w:t xml:space="preserve">to y en </w:t>
      </w:r>
      <w:r w:rsidR="000F763D">
        <w:rPr>
          <w:rFonts w:ascii="Arial Narrow" w:hAnsi="Arial Narrow"/>
          <w:sz w:val="22"/>
          <w:szCs w:val="22"/>
        </w:rPr>
        <w:t>el comercio al mayoreo aumenta</w:t>
      </w:r>
      <w:r w:rsidR="00B050BF">
        <w:rPr>
          <w:rFonts w:ascii="Arial Narrow" w:hAnsi="Arial Narrow"/>
          <w:sz w:val="22"/>
          <w:szCs w:val="22"/>
        </w:rPr>
        <w:t>ron</w:t>
      </w:r>
      <w:r w:rsidRPr="00B92A61">
        <w:rPr>
          <w:rFonts w:ascii="Arial Narrow" w:hAnsi="Arial Narrow"/>
          <w:sz w:val="22"/>
          <w:szCs w:val="22"/>
        </w:rPr>
        <w:t xml:space="preserve"> a un </w:t>
      </w:r>
      <w:r w:rsidR="000F763D">
        <w:rPr>
          <w:rFonts w:ascii="Arial Narrow" w:hAnsi="Arial Narrow"/>
          <w:sz w:val="22"/>
          <w:szCs w:val="22"/>
        </w:rPr>
        <w:t>ritmo anual de 0.9 por ciento, en relación al mismo bimestre del año anterior.</w:t>
      </w:r>
    </w:p>
    <w:p w:rsidR="00B83815" w:rsidRPr="00992D26" w:rsidRDefault="00B83815" w:rsidP="00B83815">
      <w:pPr>
        <w:pStyle w:val="Sangradetextonormal"/>
        <w:ind w:firstLine="876"/>
        <w:rPr>
          <w:rFonts w:ascii="Arial Narrow" w:hAnsi="Arial Narrow"/>
          <w:sz w:val="25"/>
        </w:rPr>
      </w:pPr>
    </w:p>
    <w:p w:rsidR="00B83815" w:rsidRPr="0012519F" w:rsidRDefault="00B83815" w:rsidP="00B83815">
      <w:pPr>
        <w:pStyle w:val="Sangradetextonormal"/>
        <w:ind w:firstLine="876"/>
        <w:rPr>
          <w:rFonts w:ascii="Arial Narrow" w:hAnsi="Arial Narrow"/>
          <w:sz w:val="22"/>
          <w:szCs w:val="22"/>
        </w:rPr>
      </w:pPr>
      <w:r w:rsidRPr="0012519F">
        <w:rPr>
          <w:rFonts w:ascii="Arial Narrow" w:hAnsi="Arial Narrow"/>
          <w:sz w:val="22"/>
          <w:szCs w:val="22"/>
        </w:rPr>
        <w:t xml:space="preserve">En el bimestre octubre - </w:t>
      </w:r>
      <w:r w:rsidR="000F763D">
        <w:rPr>
          <w:rFonts w:ascii="Arial Narrow" w:hAnsi="Arial Narrow"/>
          <w:sz w:val="22"/>
          <w:szCs w:val="22"/>
        </w:rPr>
        <w:t>noviembre de 2017</w:t>
      </w:r>
      <w:r w:rsidRPr="0012519F">
        <w:rPr>
          <w:rFonts w:ascii="Arial Narrow" w:hAnsi="Arial Narrow"/>
          <w:sz w:val="22"/>
          <w:szCs w:val="22"/>
        </w:rPr>
        <w:t xml:space="preserve"> la productividad de la mano de obra en la </w:t>
      </w:r>
      <w:r>
        <w:rPr>
          <w:rFonts w:ascii="Arial Narrow" w:hAnsi="Arial Narrow"/>
          <w:sz w:val="22"/>
          <w:szCs w:val="22"/>
        </w:rPr>
        <w:t>industria manufacturera registró una disminución anua</w:t>
      </w:r>
      <w:r w:rsidR="000F763D">
        <w:rPr>
          <w:rFonts w:ascii="Arial Narrow" w:hAnsi="Arial Narrow"/>
          <w:sz w:val="22"/>
          <w:szCs w:val="22"/>
        </w:rPr>
        <w:t>l de 1.7</w:t>
      </w:r>
      <w:r w:rsidRPr="0012519F">
        <w:rPr>
          <w:rFonts w:ascii="Arial Narrow" w:hAnsi="Arial Narrow"/>
          <w:sz w:val="22"/>
          <w:szCs w:val="22"/>
        </w:rPr>
        <w:t xml:space="preserve"> por ciento, en tanto que los costos unitarios de l</w:t>
      </w:r>
      <w:r>
        <w:rPr>
          <w:rFonts w:ascii="Arial Narrow" w:hAnsi="Arial Narrow"/>
          <w:sz w:val="22"/>
          <w:szCs w:val="22"/>
        </w:rPr>
        <w:t xml:space="preserve">a mano de obra </w:t>
      </w:r>
      <w:r w:rsidR="00B050BF">
        <w:rPr>
          <w:rFonts w:ascii="Arial Narrow" w:hAnsi="Arial Narrow"/>
          <w:sz w:val="22"/>
          <w:szCs w:val="22"/>
        </w:rPr>
        <w:t xml:space="preserve">en esta actividad </w:t>
      </w:r>
      <w:r w:rsidR="000F763D">
        <w:rPr>
          <w:rFonts w:ascii="Arial Narrow" w:hAnsi="Arial Narrow"/>
          <w:sz w:val="22"/>
          <w:szCs w:val="22"/>
        </w:rPr>
        <w:t>aumentaron a un ritmo anual de 1.4</w:t>
      </w:r>
      <w:r w:rsidRPr="0012519F">
        <w:rPr>
          <w:rFonts w:ascii="Arial Narrow" w:hAnsi="Arial Narrow"/>
          <w:sz w:val="22"/>
          <w:szCs w:val="22"/>
        </w:rPr>
        <w:t xml:space="preserve"> por ciento.</w:t>
      </w:r>
    </w:p>
    <w:p w:rsidR="00B83815" w:rsidRPr="00992D26" w:rsidRDefault="00B83815" w:rsidP="00B83815">
      <w:pPr>
        <w:pStyle w:val="Sangradetextonormal"/>
        <w:ind w:firstLine="876"/>
        <w:rPr>
          <w:rFonts w:ascii="Arial Narrow" w:hAnsi="Arial Narrow"/>
          <w:sz w:val="25"/>
        </w:rPr>
      </w:pPr>
    </w:p>
    <w:p w:rsidR="00B83815" w:rsidRPr="00E05E72"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E05E72">
        <w:rPr>
          <w:rFonts w:ascii="Arial Narrow" w:hAnsi="Arial Narrow"/>
          <w:b/>
          <w:bCs/>
          <w:szCs w:val="28"/>
        </w:rPr>
        <w:t>Déficit Público</w:t>
      </w:r>
    </w:p>
    <w:p w:rsidR="00B83815" w:rsidRPr="00992D26" w:rsidRDefault="00B83815" w:rsidP="00F759B1">
      <w:pPr>
        <w:pStyle w:val="Sangradetextonormal"/>
        <w:spacing w:line="240" w:lineRule="auto"/>
        <w:ind w:left="539" w:firstLine="0"/>
        <w:jc w:val="left"/>
        <w:rPr>
          <w:rFonts w:ascii="Arial Narrow" w:hAnsi="Arial Narrow"/>
          <w:b/>
          <w:bCs/>
          <w:sz w:val="32"/>
          <w:szCs w:val="32"/>
        </w:rPr>
      </w:pPr>
    </w:p>
    <w:p w:rsidR="00B83815" w:rsidRPr="00E05E72" w:rsidRDefault="00B83815" w:rsidP="00B83815">
      <w:pPr>
        <w:pStyle w:val="Sangradetextonormal"/>
        <w:ind w:firstLine="876"/>
        <w:rPr>
          <w:rFonts w:ascii="Arial Narrow" w:hAnsi="Arial Narrow"/>
          <w:sz w:val="22"/>
          <w:szCs w:val="22"/>
        </w:rPr>
      </w:pPr>
      <w:r w:rsidRPr="00E05E72">
        <w:rPr>
          <w:rFonts w:ascii="Arial Narrow" w:hAnsi="Arial Narrow"/>
          <w:sz w:val="22"/>
          <w:szCs w:val="22"/>
        </w:rPr>
        <w:t>El déficit público</w:t>
      </w:r>
      <w:r w:rsidR="006E10BE">
        <w:rPr>
          <w:rFonts w:ascii="Arial Narrow" w:hAnsi="Arial Narrow"/>
          <w:sz w:val="22"/>
          <w:szCs w:val="22"/>
        </w:rPr>
        <w:t xml:space="preserve"> en 2017</w:t>
      </w:r>
      <w:r w:rsidRPr="00E05E72">
        <w:rPr>
          <w:rFonts w:ascii="Arial Narrow" w:hAnsi="Arial Narrow"/>
          <w:sz w:val="22"/>
          <w:szCs w:val="22"/>
        </w:rPr>
        <w:t xml:space="preserve"> fue de </w:t>
      </w:r>
      <w:r w:rsidR="006E10BE">
        <w:rPr>
          <w:rFonts w:ascii="Arial Narrow" w:hAnsi="Arial Narrow"/>
          <w:sz w:val="22"/>
          <w:szCs w:val="22"/>
        </w:rPr>
        <w:t>238 mil 47</w:t>
      </w:r>
      <w:r w:rsidR="00EB6ED4">
        <w:rPr>
          <w:rFonts w:ascii="Arial Narrow" w:hAnsi="Arial Narrow"/>
          <w:sz w:val="22"/>
          <w:szCs w:val="22"/>
        </w:rPr>
        <w:t>2</w:t>
      </w:r>
      <w:r w:rsidRPr="00E05E72">
        <w:rPr>
          <w:rFonts w:ascii="Arial Narrow" w:hAnsi="Arial Narrow"/>
          <w:sz w:val="22"/>
          <w:szCs w:val="22"/>
        </w:rPr>
        <w:t xml:space="preserve"> millones de peso</w:t>
      </w:r>
      <w:r w:rsidR="00EB6ED4">
        <w:rPr>
          <w:rFonts w:ascii="Arial Narrow" w:hAnsi="Arial Narrow"/>
          <w:sz w:val="22"/>
          <w:szCs w:val="22"/>
        </w:rPr>
        <w:t xml:space="preserve">s, </w:t>
      </w:r>
      <w:r w:rsidR="006E10BE">
        <w:rPr>
          <w:rFonts w:ascii="Arial Narrow" w:hAnsi="Arial Narrow"/>
          <w:sz w:val="22"/>
          <w:szCs w:val="22"/>
        </w:rPr>
        <w:t>que muestra una mejora de 265 mil 336 millones de pesos con respecto a 2016</w:t>
      </w:r>
      <w:r w:rsidRPr="00E05E72">
        <w:rPr>
          <w:rFonts w:ascii="Arial Narrow" w:hAnsi="Arial Narrow"/>
          <w:sz w:val="22"/>
          <w:szCs w:val="22"/>
        </w:rPr>
        <w:t>. Dicho resultado, según reporta la Secretaría de Hacienda y Crédito Público (SHCP), se conforma de la siguiente manera:</w:t>
      </w:r>
    </w:p>
    <w:p w:rsidR="00B83815" w:rsidRPr="00992D26" w:rsidRDefault="00B83815" w:rsidP="00B83815">
      <w:pPr>
        <w:pStyle w:val="Sangradetextonormal"/>
        <w:ind w:firstLine="876"/>
        <w:rPr>
          <w:rFonts w:ascii="Arial Narrow" w:hAnsi="Arial Narrow"/>
          <w:sz w:val="25"/>
        </w:rPr>
      </w:pPr>
    </w:p>
    <w:p w:rsidR="00B83815" w:rsidRPr="00E05E72" w:rsidRDefault="00B83815" w:rsidP="00B83815">
      <w:pPr>
        <w:pStyle w:val="Sangradetextonormal"/>
        <w:ind w:firstLine="876"/>
        <w:rPr>
          <w:rFonts w:ascii="Arial Narrow" w:hAnsi="Arial Narrow"/>
          <w:sz w:val="22"/>
          <w:szCs w:val="22"/>
        </w:rPr>
      </w:pPr>
      <w:r w:rsidRPr="00E05E72">
        <w:rPr>
          <w:rFonts w:ascii="Arial Narrow" w:hAnsi="Arial Narrow"/>
          <w:sz w:val="22"/>
          <w:szCs w:val="22"/>
        </w:rPr>
        <w:t>Déficit del Gobierno Federal</w:t>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t xml:space="preserve">     </w:t>
      </w:r>
      <w:r w:rsidR="00197EF2">
        <w:rPr>
          <w:rFonts w:ascii="Arial Narrow" w:hAnsi="Arial Narrow"/>
          <w:sz w:val="22"/>
          <w:szCs w:val="22"/>
        </w:rPr>
        <w:t>226,427</w:t>
      </w:r>
    </w:p>
    <w:p w:rsidR="00B83815" w:rsidRDefault="00B83815" w:rsidP="00B83815">
      <w:pPr>
        <w:pStyle w:val="Sangradetextonormal"/>
        <w:ind w:firstLine="876"/>
        <w:rPr>
          <w:rFonts w:ascii="Arial Narrow" w:hAnsi="Arial Narrow"/>
          <w:sz w:val="22"/>
          <w:szCs w:val="22"/>
          <w:u w:val="single"/>
        </w:rPr>
      </w:pPr>
      <w:r w:rsidRPr="00E05E72">
        <w:rPr>
          <w:rFonts w:ascii="Arial Narrow" w:hAnsi="Arial Narrow"/>
          <w:sz w:val="22"/>
          <w:szCs w:val="22"/>
        </w:rPr>
        <w:t xml:space="preserve">  </w:t>
      </w:r>
      <w:r w:rsidRPr="001717C1">
        <w:rPr>
          <w:rFonts w:ascii="Arial Narrow" w:hAnsi="Arial Narrow"/>
          <w:sz w:val="22"/>
          <w:szCs w:val="22"/>
          <w:u w:val="single"/>
        </w:rPr>
        <w:t xml:space="preserve">Más: </w:t>
      </w:r>
    </w:p>
    <w:p w:rsidR="006E10BE" w:rsidRDefault="006E10BE" w:rsidP="006E10BE">
      <w:pPr>
        <w:pStyle w:val="Sangradetextonormal"/>
        <w:spacing w:line="240" w:lineRule="auto"/>
        <w:ind w:left="539" w:firstLine="873"/>
        <w:rPr>
          <w:rFonts w:ascii="Arial Narrow" w:hAnsi="Arial Narrow"/>
          <w:sz w:val="22"/>
          <w:szCs w:val="22"/>
        </w:rPr>
      </w:pPr>
      <w:r>
        <w:rPr>
          <w:rFonts w:ascii="Arial Narrow" w:hAnsi="Arial Narrow"/>
          <w:sz w:val="22"/>
          <w:szCs w:val="22"/>
        </w:rPr>
        <w:t>Déficit de las Empresas Productiva</w:t>
      </w:r>
      <w:r w:rsidR="00197EF2">
        <w:rPr>
          <w:rFonts w:ascii="Arial Narrow" w:hAnsi="Arial Narrow"/>
          <w:sz w:val="22"/>
          <w:szCs w:val="22"/>
        </w:rPr>
        <w:t>s del Estado</w:t>
      </w:r>
      <w:r w:rsidR="00197EF2">
        <w:rPr>
          <w:rFonts w:ascii="Arial Narrow" w:hAnsi="Arial Narrow"/>
          <w:sz w:val="22"/>
          <w:szCs w:val="22"/>
        </w:rPr>
        <w:tab/>
        <w:t xml:space="preserve">  56,847</w:t>
      </w:r>
    </w:p>
    <w:p w:rsidR="006E10BE" w:rsidRDefault="006E10BE" w:rsidP="006E10BE">
      <w:pPr>
        <w:pStyle w:val="Sangradetextonormal"/>
        <w:spacing w:line="240" w:lineRule="auto"/>
        <w:ind w:left="539" w:firstLine="873"/>
        <w:rPr>
          <w:rFonts w:ascii="Arial Narrow" w:hAnsi="Arial Narrow"/>
          <w:sz w:val="22"/>
          <w:szCs w:val="22"/>
        </w:rPr>
      </w:pPr>
    </w:p>
    <w:p w:rsidR="006E10BE" w:rsidRPr="00E05E72" w:rsidRDefault="006E10BE" w:rsidP="006E10BE">
      <w:pPr>
        <w:pStyle w:val="Sangradetextonormal"/>
        <w:spacing w:line="240" w:lineRule="auto"/>
        <w:ind w:left="539" w:firstLine="873"/>
        <w:rPr>
          <w:rFonts w:ascii="Arial Narrow" w:hAnsi="Arial Narrow"/>
          <w:sz w:val="22"/>
          <w:szCs w:val="22"/>
        </w:rPr>
      </w:pPr>
      <w:r>
        <w:rPr>
          <w:rFonts w:ascii="Arial Narrow" w:hAnsi="Arial Narrow"/>
          <w:sz w:val="22"/>
          <w:szCs w:val="22"/>
        </w:rPr>
        <w:t xml:space="preserve">Déficit de </w:t>
      </w:r>
      <w:r w:rsidRPr="00E05E72">
        <w:rPr>
          <w:rFonts w:ascii="Arial Narrow" w:hAnsi="Arial Narrow"/>
          <w:sz w:val="22"/>
          <w:szCs w:val="22"/>
        </w:rPr>
        <w:t xml:space="preserve">las Entidades bajo Control </w:t>
      </w:r>
    </w:p>
    <w:p w:rsidR="006E10BE" w:rsidRPr="00E05E72" w:rsidRDefault="006E10BE" w:rsidP="006E10BE">
      <w:pPr>
        <w:pStyle w:val="Sangradetextonormal"/>
        <w:spacing w:line="240" w:lineRule="auto"/>
        <w:ind w:left="539" w:firstLine="873"/>
        <w:rPr>
          <w:rFonts w:ascii="Arial Narrow" w:hAnsi="Arial Narrow"/>
          <w:sz w:val="22"/>
          <w:szCs w:val="22"/>
          <w:u w:val="single"/>
        </w:rPr>
      </w:pPr>
      <w:r>
        <w:rPr>
          <w:rFonts w:ascii="Arial Narrow" w:hAnsi="Arial Narrow"/>
          <w:sz w:val="22"/>
          <w:szCs w:val="22"/>
        </w:rPr>
        <w:t>Presupuestario Indirecto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197EF2">
        <w:rPr>
          <w:rFonts w:ascii="Arial Narrow" w:hAnsi="Arial Narrow"/>
          <w:sz w:val="22"/>
          <w:szCs w:val="22"/>
          <w:u w:val="single"/>
        </w:rPr>
        <w:t xml:space="preserve">  8,0</w:t>
      </w:r>
      <w:r w:rsidRPr="00EB6ED4">
        <w:rPr>
          <w:rFonts w:ascii="Arial Narrow" w:hAnsi="Arial Narrow"/>
          <w:sz w:val="22"/>
          <w:szCs w:val="22"/>
          <w:u w:val="single"/>
        </w:rPr>
        <w:t>36</w:t>
      </w:r>
      <w:r w:rsidRPr="003C2415">
        <w:rPr>
          <w:rFonts w:ascii="Arial Narrow" w:hAnsi="Arial Narrow"/>
          <w:sz w:val="22"/>
          <w:szCs w:val="22"/>
        </w:rPr>
        <w:t xml:space="preserve">     </w:t>
      </w:r>
      <w:r w:rsidR="00197EF2">
        <w:rPr>
          <w:rFonts w:ascii="Arial Narrow" w:hAnsi="Arial Narrow"/>
          <w:sz w:val="22"/>
          <w:szCs w:val="22"/>
          <w:u w:val="single"/>
        </w:rPr>
        <w:t xml:space="preserve">   64,883</w:t>
      </w:r>
    </w:p>
    <w:p w:rsidR="006E10BE" w:rsidRDefault="00197EF2" w:rsidP="00B83815">
      <w:pPr>
        <w:pStyle w:val="Sangradetextonormal"/>
        <w:ind w:firstLine="876"/>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Suma:</w:t>
      </w:r>
      <w:r>
        <w:rPr>
          <w:rFonts w:ascii="Arial Narrow" w:hAnsi="Arial Narrow"/>
          <w:sz w:val="22"/>
          <w:szCs w:val="22"/>
        </w:rPr>
        <w:tab/>
      </w:r>
      <w:r>
        <w:rPr>
          <w:rFonts w:ascii="Arial Narrow" w:hAnsi="Arial Narrow"/>
          <w:sz w:val="22"/>
          <w:szCs w:val="22"/>
        </w:rPr>
        <w:tab/>
        <w:t xml:space="preserve">     291,310</w:t>
      </w:r>
      <w:r>
        <w:rPr>
          <w:rFonts w:ascii="Arial Narrow" w:hAnsi="Arial Narrow"/>
          <w:sz w:val="22"/>
          <w:szCs w:val="22"/>
        </w:rPr>
        <w:tab/>
      </w:r>
    </w:p>
    <w:p w:rsidR="00B83815" w:rsidRPr="001717C1" w:rsidRDefault="00B83815" w:rsidP="00B83815">
      <w:pPr>
        <w:pStyle w:val="Sangradetextonormal"/>
        <w:rPr>
          <w:rFonts w:ascii="Arial Narrow" w:hAnsi="Arial Narrow"/>
          <w:sz w:val="22"/>
          <w:szCs w:val="22"/>
          <w:u w:val="single"/>
        </w:rPr>
      </w:pPr>
      <w:r w:rsidRPr="00E05E72">
        <w:rPr>
          <w:rFonts w:ascii="Arial Narrow" w:hAnsi="Arial Narrow"/>
          <w:sz w:val="22"/>
          <w:szCs w:val="22"/>
        </w:rPr>
        <w:t xml:space="preserve">     </w:t>
      </w:r>
      <w:r w:rsidRPr="001717C1">
        <w:rPr>
          <w:rFonts w:ascii="Arial Narrow" w:hAnsi="Arial Narrow"/>
          <w:sz w:val="22"/>
          <w:szCs w:val="22"/>
          <w:u w:val="single"/>
        </w:rPr>
        <w:t>Menos:</w:t>
      </w:r>
    </w:p>
    <w:p w:rsidR="006E10BE" w:rsidRPr="00E05E72" w:rsidRDefault="006E10BE" w:rsidP="006E10BE">
      <w:pPr>
        <w:pStyle w:val="Sangradetextonormal"/>
        <w:spacing w:line="240" w:lineRule="exact"/>
        <w:ind w:left="1247" w:firstLine="170"/>
        <w:rPr>
          <w:rFonts w:ascii="Arial Narrow" w:hAnsi="Arial Narrow"/>
          <w:sz w:val="22"/>
          <w:szCs w:val="22"/>
        </w:rPr>
      </w:pPr>
      <w:r>
        <w:rPr>
          <w:rFonts w:ascii="Arial Narrow" w:hAnsi="Arial Narrow"/>
          <w:sz w:val="22"/>
          <w:szCs w:val="22"/>
        </w:rPr>
        <w:t>Superávit de los Organismos de Control</w:t>
      </w:r>
      <w:r w:rsidRPr="00E05E72">
        <w:rPr>
          <w:rFonts w:ascii="Arial Narrow" w:hAnsi="Arial Narrow"/>
          <w:sz w:val="22"/>
          <w:szCs w:val="22"/>
        </w:rPr>
        <w:t xml:space="preserve"> </w:t>
      </w:r>
    </w:p>
    <w:p w:rsidR="006E10BE" w:rsidRPr="00133803" w:rsidRDefault="006E10BE" w:rsidP="006E10BE">
      <w:pPr>
        <w:pStyle w:val="Sangradetextonormal"/>
        <w:spacing w:line="240" w:lineRule="exact"/>
        <w:ind w:left="1247" w:firstLine="170"/>
        <w:rPr>
          <w:rFonts w:ascii="Arial Narrow" w:hAnsi="Arial Narrow"/>
          <w:sz w:val="22"/>
          <w:szCs w:val="22"/>
        </w:rPr>
      </w:pPr>
      <w:r w:rsidRPr="00E05E72">
        <w:rPr>
          <w:rFonts w:ascii="Arial Narrow" w:hAnsi="Arial Narrow"/>
          <w:sz w:val="22"/>
          <w:szCs w:val="22"/>
        </w:rPr>
        <w:t xml:space="preserve">Presupuestario </w:t>
      </w:r>
      <w:r>
        <w:rPr>
          <w:rFonts w:ascii="Arial Narrow" w:hAnsi="Arial Narrow"/>
          <w:sz w:val="22"/>
          <w:szCs w:val="22"/>
        </w:rPr>
        <w:t>D</w:t>
      </w:r>
      <w:r w:rsidRPr="00E05E72">
        <w:rPr>
          <w:rFonts w:ascii="Arial Narrow" w:hAnsi="Arial Narrow"/>
          <w:sz w:val="22"/>
          <w:szCs w:val="22"/>
        </w:rPr>
        <w:t>irecto</w:t>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Pr>
          <w:rFonts w:ascii="Arial Narrow" w:hAnsi="Arial Narrow"/>
          <w:sz w:val="22"/>
          <w:szCs w:val="22"/>
        </w:rPr>
        <w:tab/>
        <w:t xml:space="preserve">    </w:t>
      </w:r>
      <w:r w:rsidR="00197EF2">
        <w:rPr>
          <w:rFonts w:ascii="Arial Narrow" w:hAnsi="Arial Narrow"/>
          <w:sz w:val="22"/>
          <w:szCs w:val="22"/>
          <w:u w:val="single"/>
        </w:rPr>
        <w:t xml:space="preserve">    52,837</w:t>
      </w:r>
    </w:p>
    <w:p w:rsidR="006E10BE" w:rsidRDefault="006E10BE" w:rsidP="006E10BE">
      <w:pPr>
        <w:pStyle w:val="Sangradetextonormal"/>
        <w:ind w:left="1248" w:firstLine="168"/>
        <w:rPr>
          <w:rFonts w:ascii="Arial Narrow" w:hAnsi="Arial Narrow"/>
          <w:sz w:val="22"/>
          <w:szCs w:val="22"/>
        </w:rPr>
      </w:pP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p>
    <w:p w:rsidR="00197EF2" w:rsidRDefault="00B83815" w:rsidP="00B83815">
      <w:pPr>
        <w:pStyle w:val="Sangradetextonormal"/>
        <w:ind w:left="2664" w:firstLine="876"/>
        <w:rPr>
          <w:rFonts w:ascii="Arial Narrow" w:hAnsi="Arial Narrow"/>
          <w:sz w:val="22"/>
          <w:szCs w:val="22"/>
          <w:u w:val="double"/>
        </w:rPr>
      </w:pPr>
      <w:r w:rsidRPr="00E05E72">
        <w:rPr>
          <w:rFonts w:ascii="Arial Narrow" w:hAnsi="Arial Narrow"/>
          <w:sz w:val="22"/>
          <w:szCs w:val="22"/>
        </w:rPr>
        <w:t>Déficit Público:</w:t>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t xml:space="preserve">     </w:t>
      </w:r>
      <w:r>
        <w:rPr>
          <w:rFonts w:ascii="Arial Narrow" w:hAnsi="Arial Narrow"/>
          <w:sz w:val="22"/>
          <w:szCs w:val="22"/>
        </w:rPr>
        <w:t xml:space="preserve"> </w:t>
      </w:r>
      <w:r w:rsidR="00197EF2">
        <w:rPr>
          <w:rFonts w:ascii="Arial Narrow" w:hAnsi="Arial Narrow"/>
          <w:sz w:val="22"/>
          <w:szCs w:val="22"/>
          <w:u w:val="double"/>
        </w:rPr>
        <w:t>238,47</w:t>
      </w:r>
      <w:r w:rsidR="00EB6ED4">
        <w:rPr>
          <w:rFonts w:ascii="Arial Narrow" w:hAnsi="Arial Narrow"/>
          <w:sz w:val="22"/>
          <w:szCs w:val="22"/>
          <w:u w:val="double"/>
        </w:rPr>
        <w:t>2</w:t>
      </w:r>
      <w:r w:rsidR="00197EF2" w:rsidRPr="00197EF2">
        <w:rPr>
          <w:rFonts w:ascii="Arial Narrow" w:hAnsi="Arial Narrow"/>
          <w:sz w:val="22"/>
          <w:szCs w:val="22"/>
        </w:rPr>
        <w:t xml:space="preserve"> *</w:t>
      </w:r>
    </w:p>
    <w:p w:rsidR="00197EF2" w:rsidRPr="00197EF2" w:rsidRDefault="00197EF2" w:rsidP="00197EF2">
      <w:pPr>
        <w:pStyle w:val="Sangradetextonormal"/>
        <w:ind w:left="1429" w:firstLine="0"/>
        <w:rPr>
          <w:rFonts w:ascii="Arial Narrow" w:hAnsi="Arial Narrow"/>
          <w:sz w:val="20"/>
        </w:rPr>
      </w:pPr>
      <w:r w:rsidRPr="00197EF2">
        <w:rPr>
          <w:rFonts w:ascii="Arial Narrow" w:hAnsi="Arial Narrow"/>
          <w:sz w:val="20"/>
        </w:rPr>
        <w:t xml:space="preserve">* </w:t>
      </w:r>
      <w:proofErr w:type="gramStart"/>
      <w:r w:rsidRPr="00197EF2">
        <w:rPr>
          <w:rFonts w:ascii="Arial Narrow" w:hAnsi="Arial Narrow"/>
          <w:sz w:val="20"/>
        </w:rPr>
        <w:t>resultado</w:t>
      </w:r>
      <w:proofErr w:type="gramEnd"/>
      <w:r w:rsidRPr="00197EF2">
        <w:rPr>
          <w:rFonts w:ascii="Arial Narrow" w:hAnsi="Arial Narrow"/>
          <w:sz w:val="20"/>
        </w:rPr>
        <w:t xml:space="preserve"> </w:t>
      </w:r>
      <w:r>
        <w:rPr>
          <w:rFonts w:ascii="Arial Narrow" w:hAnsi="Arial Narrow"/>
          <w:sz w:val="20"/>
        </w:rPr>
        <w:t xml:space="preserve">aritmético </w:t>
      </w:r>
      <w:r w:rsidRPr="00197EF2">
        <w:rPr>
          <w:rFonts w:ascii="Arial Narrow" w:hAnsi="Arial Narrow"/>
          <w:sz w:val="20"/>
        </w:rPr>
        <w:t>no coincidente debido al redondeo de cifras.</w:t>
      </w:r>
    </w:p>
    <w:p w:rsidR="00B83815" w:rsidRPr="00E05E72" w:rsidRDefault="00B83815" w:rsidP="00B83815">
      <w:pPr>
        <w:pStyle w:val="Sangradetextonormal"/>
        <w:ind w:left="2664" w:firstLine="876"/>
        <w:rPr>
          <w:rFonts w:ascii="Arial Narrow" w:hAnsi="Arial Narrow"/>
          <w:sz w:val="22"/>
          <w:szCs w:val="22"/>
        </w:rPr>
      </w:pP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p>
    <w:p w:rsidR="00B83815" w:rsidRPr="00E05E72" w:rsidRDefault="009D4925" w:rsidP="00B83815">
      <w:pPr>
        <w:pStyle w:val="Sangradetextonormal"/>
        <w:ind w:firstLine="876"/>
        <w:rPr>
          <w:rFonts w:ascii="Arial Narrow" w:hAnsi="Arial Narrow"/>
          <w:sz w:val="22"/>
          <w:szCs w:val="22"/>
        </w:rPr>
      </w:pPr>
      <w:r>
        <w:rPr>
          <w:rFonts w:ascii="Arial Narrow" w:hAnsi="Arial Narrow"/>
          <w:sz w:val="22"/>
          <w:szCs w:val="22"/>
        </w:rPr>
        <w:t>Al excluir la inversión de alto impacto económico y social</w:t>
      </w:r>
      <w:r w:rsidR="00B83815" w:rsidRPr="00E05E72">
        <w:rPr>
          <w:rFonts w:ascii="Arial Narrow" w:hAnsi="Arial Narrow"/>
          <w:sz w:val="22"/>
          <w:szCs w:val="22"/>
        </w:rPr>
        <w:t xml:space="preserve">, el </w:t>
      </w:r>
      <w:r>
        <w:rPr>
          <w:rFonts w:ascii="Arial Narrow" w:hAnsi="Arial Narrow"/>
          <w:sz w:val="22"/>
          <w:szCs w:val="22"/>
        </w:rPr>
        <w:t xml:space="preserve"> resultado es un </w:t>
      </w:r>
      <w:r w:rsidR="00244A13">
        <w:rPr>
          <w:rFonts w:ascii="Arial Narrow" w:hAnsi="Arial Narrow"/>
          <w:sz w:val="22"/>
          <w:szCs w:val="22"/>
        </w:rPr>
        <w:t>superávit</w:t>
      </w:r>
      <w:r>
        <w:rPr>
          <w:rFonts w:ascii="Arial Narrow" w:hAnsi="Arial Narrow"/>
          <w:sz w:val="22"/>
          <w:szCs w:val="22"/>
        </w:rPr>
        <w:t xml:space="preserve"> del Sector P</w:t>
      </w:r>
      <w:r w:rsidR="00B83815" w:rsidRPr="00E05E72">
        <w:rPr>
          <w:rFonts w:ascii="Arial Narrow" w:hAnsi="Arial Narrow"/>
          <w:sz w:val="22"/>
          <w:szCs w:val="22"/>
        </w:rPr>
        <w:t>úblico</w:t>
      </w:r>
      <w:r w:rsidR="00852979">
        <w:rPr>
          <w:rFonts w:ascii="Arial Narrow" w:hAnsi="Arial Narrow"/>
          <w:sz w:val="22"/>
          <w:szCs w:val="22"/>
        </w:rPr>
        <w:t xml:space="preserve"> que</w:t>
      </w:r>
      <w:r w:rsidR="00B83815" w:rsidRPr="00E05E72">
        <w:rPr>
          <w:rFonts w:ascii="Arial Narrow" w:hAnsi="Arial Narrow"/>
          <w:sz w:val="22"/>
          <w:szCs w:val="22"/>
        </w:rPr>
        <w:t xml:space="preserve"> fue de </w:t>
      </w:r>
      <w:r w:rsidR="00197EF2">
        <w:rPr>
          <w:rFonts w:ascii="Arial Narrow" w:hAnsi="Arial Narrow"/>
          <w:sz w:val="22"/>
          <w:szCs w:val="22"/>
        </w:rPr>
        <w:t>99 mil 875</w:t>
      </w:r>
      <w:r w:rsidR="00B83815" w:rsidRPr="00E05E72">
        <w:rPr>
          <w:rFonts w:ascii="Arial Narrow" w:hAnsi="Arial Narrow"/>
          <w:sz w:val="22"/>
          <w:szCs w:val="22"/>
        </w:rPr>
        <w:t xml:space="preserve"> millones de pesos.</w:t>
      </w:r>
    </w:p>
    <w:p w:rsidR="00B83815" w:rsidRPr="003C2415" w:rsidRDefault="00B83815" w:rsidP="00B83815">
      <w:pPr>
        <w:pStyle w:val="Sangradetextonormal"/>
        <w:spacing w:line="240" w:lineRule="auto"/>
        <w:ind w:firstLine="0"/>
        <w:jc w:val="left"/>
        <w:rPr>
          <w:rFonts w:ascii="Arial Narrow" w:hAnsi="Arial Narrow"/>
          <w:b/>
          <w:bCs/>
          <w:szCs w:val="28"/>
        </w:rPr>
      </w:pPr>
      <w:r w:rsidRPr="003C2415">
        <w:rPr>
          <w:rFonts w:ascii="Arial Narrow" w:hAnsi="Arial Narrow"/>
          <w:b/>
          <w:bCs/>
          <w:szCs w:val="28"/>
        </w:rPr>
        <w:lastRenderedPageBreak/>
        <w:t>2.1.1.3.- Postura Fiscal</w:t>
      </w:r>
    </w:p>
    <w:p w:rsidR="00B83815" w:rsidRPr="003C2415" w:rsidRDefault="00B83815" w:rsidP="00B83815">
      <w:pPr>
        <w:pStyle w:val="Sangradetextonormal"/>
        <w:spacing w:line="240" w:lineRule="auto"/>
        <w:ind w:firstLine="0"/>
        <w:jc w:val="left"/>
        <w:rPr>
          <w:rFonts w:ascii="Arial Narrow" w:hAnsi="Arial Narrow"/>
          <w:b/>
          <w:bCs/>
          <w:szCs w:val="28"/>
        </w:rPr>
      </w:pPr>
      <w:r w:rsidRPr="003C2415">
        <w:rPr>
          <w:rFonts w:ascii="Arial Narrow" w:hAnsi="Arial Narrow"/>
          <w:b/>
          <w:bCs/>
          <w:szCs w:val="28"/>
        </w:rPr>
        <w:tab/>
      </w:r>
    </w:p>
    <w:p w:rsidR="00B83815" w:rsidRPr="003C2415" w:rsidRDefault="00B83815" w:rsidP="00B83815">
      <w:pPr>
        <w:pStyle w:val="Sangradetextonormal"/>
        <w:numPr>
          <w:ilvl w:val="0"/>
          <w:numId w:val="8"/>
        </w:numPr>
        <w:tabs>
          <w:tab w:val="clear" w:pos="1068"/>
          <w:tab w:val="num" w:pos="900"/>
        </w:tabs>
        <w:ind w:hanging="528"/>
        <w:jc w:val="left"/>
        <w:rPr>
          <w:rFonts w:ascii="Arial Narrow" w:hAnsi="Arial Narrow"/>
          <w:b/>
          <w:bCs/>
          <w:szCs w:val="28"/>
        </w:rPr>
      </w:pPr>
      <w:r w:rsidRPr="003C2415">
        <w:rPr>
          <w:rFonts w:ascii="Arial Narrow" w:hAnsi="Arial Narrow"/>
          <w:b/>
          <w:bCs/>
          <w:szCs w:val="28"/>
        </w:rPr>
        <w:t>Política Fiscal</w:t>
      </w:r>
    </w:p>
    <w:p w:rsidR="00B83815" w:rsidRPr="00992D26" w:rsidRDefault="00B83815" w:rsidP="00F759B1">
      <w:pPr>
        <w:pStyle w:val="Sangradetextonormal"/>
        <w:spacing w:line="240" w:lineRule="auto"/>
        <w:ind w:firstLine="0"/>
        <w:jc w:val="left"/>
        <w:rPr>
          <w:rFonts w:ascii="Arial Narrow" w:hAnsi="Arial Narrow"/>
          <w:b/>
          <w:bCs/>
          <w:sz w:val="32"/>
          <w:szCs w:val="32"/>
        </w:rPr>
      </w:pPr>
    </w:p>
    <w:p w:rsidR="00B83815" w:rsidRPr="003C2415" w:rsidRDefault="00AB7AB1" w:rsidP="00B83815">
      <w:pPr>
        <w:pStyle w:val="Sangradetextonormal"/>
        <w:ind w:firstLine="876"/>
        <w:rPr>
          <w:rFonts w:ascii="Arial Narrow" w:hAnsi="Arial Narrow"/>
          <w:sz w:val="22"/>
          <w:szCs w:val="22"/>
        </w:rPr>
      </w:pPr>
      <w:r>
        <w:rPr>
          <w:rFonts w:ascii="Arial Narrow" w:hAnsi="Arial Narrow"/>
          <w:sz w:val="22"/>
          <w:szCs w:val="22"/>
        </w:rPr>
        <w:t xml:space="preserve">La administración federal </w:t>
      </w:r>
      <w:r w:rsidR="006903EA">
        <w:rPr>
          <w:rFonts w:ascii="Arial Narrow" w:hAnsi="Arial Narrow"/>
          <w:sz w:val="22"/>
          <w:szCs w:val="22"/>
        </w:rPr>
        <w:t xml:space="preserve"> sostuvo que el ejercicio fiscal 2017 sería fundamental para preservar el desarrollo del país, ya que persisten factores, principalmente externos, que presionan a las finanzas públicas en un entorno de alta volatilidad financiera en el ámbito internacional.</w:t>
      </w:r>
    </w:p>
    <w:p w:rsidR="00B83815" w:rsidRPr="003C2415" w:rsidRDefault="00B83815" w:rsidP="00F759B1">
      <w:pPr>
        <w:pStyle w:val="Sangradetextonormal"/>
        <w:spacing w:line="240" w:lineRule="auto"/>
        <w:ind w:firstLine="873"/>
        <w:rPr>
          <w:rFonts w:ascii="Arial Narrow" w:hAnsi="Arial Narrow"/>
          <w:sz w:val="22"/>
          <w:szCs w:val="22"/>
        </w:rPr>
      </w:pPr>
    </w:p>
    <w:p w:rsidR="00B83815" w:rsidRDefault="00B83815" w:rsidP="00F759B1">
      <w:pPr>
        <w:pStyle w:val="Sangradetextonormal"/>
        <w:ind w:firstLine="876"/>
        <w:rPr>
          <w:rFonts w:ascii="Arial Narrow" w:hAnsi="Arial Narrow"/>
          <w:sz w:val="22"/>
          <w:szCs w:val="22"/>
        </w:rPr>
      </w:pPr>
      <w:r>
        <w:rPr>
          <w:rFonts w:ascii="Arial Narrow" w:hAnsi="Arial Narrow"/>
          <w:sz w:val="22"/>
          <w:szCs w:val="22"/>
        </w:rPr>
        <w:t xml:space="preserve">Con base en lo expuesto, </w:t>
      </w:r>
      <w:r w:rsidR="006903EA">
        <w:rPr>
          <w:rFonts w:ascii="Arial Narrow" w:hAnsi="Arial Narrow"/>
          <w:sz w:val="22"/>
          <w:szCs w:val="22"/>
        </w:rPr>
        <w:t>la Secretaría de Ha</w:t>
      </w:r>
      <w:r w:rsidR="005B3C74">
        <w:rPr>
          <w:rFonts w:ascii="Arial Narrow" w:hAnsi="Arial Narrow"/>
          <w:sz w:val="22"/>
          <w:szCs w:val="22"/>
        </w:rPr>
        <w:t>cienda y Crédito Público subrayó</w:t>
      </w:r>
      <w:r w:rsidR="006903EA">
        <w:rPr>
          <w:rFonts w:ascii="Arial Narrow" w:hAnsi="Arial Narrow"/>
          <w:sz w:val="22"/>
          <w:szCs w:val="22"/>
        </w:rPr>
        <w:t xml:space="preserve"> que el Paquete Económico 2017 preserva la e</w:t>
      </w:r>
      <w:r w:rsidR="003C7B15">
        <w:rPr>
          <w:rFonts w:ascii="Arial Narrow" w:hAnsi="Arial Narrow"/>
          <w:sz w:val="22"/>
          <w:szCs w:val="22"/>
        </w:rPr>
        <w:t>stabilidad macroeconómica y fue</w:t>
      </w:r>
      <w:r w:rsidR="006903EA">
        <w:rPr>
          <w:rFonts w:ascii="Arial Narrow" w:hAnsi="Arial Narrow"/>
          <w:sz w:val="22"/>
          <w:szCs w:val="22"/>
        </w:rPr>
        <w:t xml:space="preserve"> diseñado  para hacer frente a los retos en las finanzas públicas, proponiendo supuestos prudentes y realistas para las estima</w:t>
      </w:r>
      <w:r w:rsidR="00210C7A">
        <w:rPr>
          <w:rFonts w:ascii="Arial Narrow" w:hAnsi="Arial Narrow"/>
          <w:sz w:val="22"/>
          <w:szCs w:val="22"/>
        </w:rPr>
        <w:t>ciones de ingresos y se plantearon</w:t>
      </w:r>
      <w:r w:rsidR="006903EA">
        <w:rPr>
          <w:rFonts w:ascii="Arial Narrow" w:hAnsi="Arial Narrow"/>
          <w:sz w:val="22"/>
          <w:szCs w:val="22"/>
        </w:rPr>
        <w:t xml:space="preserve"> acciones para cumplir con el proceso de consolidación fiscal consistentes en reducciones del gasto programable, ya que no se recurrirá a un mayor endeudamiento y no se contemplan modificaciones al marco fiscal con fines recaudatorios.</w:t>
      </w:r>
    </w:p>
    <w:p w:rsidR="00B83815" w:rsidRDefault="00B83815" w:rsidP="00B83815">
      <w:pPr>
        <w:pStyle w:val="Sangradetextonormal"/>
        <w:rPr>
          <w:rFonts w:ascii="Arial Narrow" w:hAnsi="Arial Narrow"/>
          <w:sz w:val="22"/>
          <w:szCs w:val="22"/>
        </w:rPr>
      </w:pPr>
    </w:p>
    <w:p w:rsidR="00B83815" w:rsidRDefault="006903EA" w:rsidP="00B83815">
      <w:pPr>
        <w:pStyle w:val="Sangradetextonormal"/>
        <w:rPr>
          <w:rFonts w:ascii="Arial Narrow" w:hAnsi="Arial Narrow"/>
          <w:sz w:val="22"/>
          <w:szCs w:val="22"/>
        </w:rPr>
      </w:pPr>
      <w:r>
        <w:rPr>
          <w:rFonts w:ascii="Arial Narrow" w:hAnsi="Arial Narrow"/>
          <w:sz w:val="22"/>
          <w:szCs w:val="22"/>
        </w:rPr>
        <w:t>Al respecto, se precisaron los siguientes elementos en materia de finanzas públicas:</w:t>
      </w:r>
    </w:p>
    <w:p w:rsidR="00B83815" w:rsidRDefault="00B83815" w:rsidP="00F759B1">
      <w:pPr>
        <w:pStyle w:val="Sangradetextonormal"/>
        <w:spacing w:line="240" w:lineRule="auto"/>
        <w:rPr>
          <w:rFonts w:ascii="Arial Narrow" w:hAnsi="Arial Narrow"/>
          <w:sz w:val="22"/>
          <w:szCs w:val="22"/>
        </w:rPr>
      </w:pPr>
    </w:p>
    <w:p w:rsidR="00E647B9" w:rsidRPr="00F759B1" w:rsidRDefault="006903EA" w:rsidP="00F759B1">
      <w:pPr>
        <w:pStyle w:val="Sangradetextonormal"/>
        <w:numPr>
          <w:ilvl w:val="0"/>
          <w:numId w:val="28"/>
        </w:numPr>
        <w:rPr>
          <w:rFonts w:ascii="Arial Narrow" w:hAnsi="Arial Narrow"/>
          <w:sz w:val="22"/>
          <w:szCs w:val="22"/>
        </w:rPr>
      </w:pPr>
      <w:r>
        <w:rPr>
          <w:rFonts w:ascii="Arial Narrow" w:hAnsi="Arial Narrow"/>
          <w:sz w:val="22"/>
          <w:szCs w:val="22"/>
        </w:rPr>
        <w:t>La fortaleza de los ingresos tributarios permitirá compensa</w:t>
      </w:r>
      <w:r w:rsidR="00210C7A">
        <w:rPr>
          <w:rFonts w:ascii="Arial Narrow" w:hAnsi="Arial Narrow"/>
          <w:sz w:val="22"/>
          <w:szCs w:val="22"/>
        </w:rPr>
        <w:t>r</w:t>
      </w:r>
      <w:r>
        <w:rPr>
          <w:rFonts w:ascii="Arial Narrow" w:hAnsi="Arial Narrow"/>
          <w:sz w:val="22"/>
          <w:szCs w:val="22"/>
        </w:rPr>
        <w:t xml:space="preserve"> totalmente la caída en los ingresos petroleros.</w:t>
      </w:r>
    </w:p>
    <w:p w:rsidR="00E647B9" w:rsidRDefault="006903EA" w:rsidP="00E647B9">
      <w:pPr>
        <w:pStyle w:val="Sangradetextonormal"/>
        <w:numPr>
          <w:ilvl w:val="0"/>
          <w:numId w:val="28"/>
        </w:numPr>
        <w:rPr>
          <w:rFonts w:ascii="Arial Narrow" w:hAnsi="Arial Narrow"/>
          <w:sz w:val="22"/>
          <w:szCs w:val="22"/>
        </w:rPr>
      </w:pPr>
      <w:r>
        <w:rPr>
          <w:rFonts w:ascii="Arial Narrow" w:hAnsi="Arial Narrow"/>
          <w:sz w:val="22"/>
          <w:szCs w:val="22"/>
        </w:rPr>
        <w:t>El incremento en el gasto no programable, debido a mayores participaciones para las entidades federativas, representa un desafío para las finanzas públicas</w:t>
      </w:r>
      <w:r w:rsidR="008B3D1B">
        <w:rPr>
          <w:rFonts w:ascii="Arial Narrow" w:hAnsi="Arial Narrow"/>
          <w:sz w:val="22"/>
          <w:szCs w:val="22"/>
        </w:rPr>
        <w:t>, por lo que los ajustes necesarios para acomodar estas presiones provendrán de un menor gasto programable.</w:t>
      </w:r>
    </w:p>
    <w:p w:rsidR="00E647B9" w:rsidRDefault="00E647B9" w:rsidP="00E647B9">
      <w:pPr>
        <w:pStyle w:val="Sangradetextonormal"/>
        <w:ind w:left="1429" w:firstLine="0"/>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r w:rsidRPr="003C2415">
        <w:rPr>
          <w:rFonts w:ascii="Arial Narrow" w:hAnsi="Arial Narrow"/>
          <w:sz w:val="22"/>
          <w:szCs w:val="22"/>
        </w:rPr>
        <w:t>En las metas previstas para el ejercicio que se r</w:t>
      </w:r>
      <w:r w:rsidR="008B3D1B">
        <w:rPr>
          <w:rFonts w:ascii="Arial Narrow" w:hAnsi="Arial Narrow"/>
          <w:sz w:val="22"/>
          <w:szCs w:val="22"/>
        </w:rPr>
        <w:t>eporta se estableció un superávit</w:t>
      </w:r>
      <w:r w:rsidRPr="003C2415">
        <w:rPr>
          <w:rFonts w:ascii="Arial Narrow" w:hAnsi="Arial Narrow"/>
          <w:sz w:val="22"/>
          <w:szCs w:val="22"/>
        </w:rPr>
        <w:t xml:space="preserve"> en el balance fi</w:t>
      </w:r>
      <w:r w:rsidR="00E647B9">
        <w:rPr>
          <w:rFonts w:ascii="Arial Narrow" w:hAnsi="Arial Narrow"/>
          <w:sz w:val="22"/>
          <w:szCs w:val="22"/>
        </w:rPr>
        <w:t xml:space="preserve">scal </w:t>
      </w:r>
      <w:r w:rsidR="008B3D1B">
        <w:rPr>
          <w:rFonts w:ascii="Arial Narrow" w:hAnsi="Arial Narrow"/>
          <w:sz w:val="22"/>
          <w:szCs w:val="22"/>
        </w:rPr>
        <w:t>de  0.1</w:t>
      </w:r>
      <w:r w:rsidRPr="003C2415">
        <w:rPr>
          <w:rFonts w:ascii="Arial Narrow" w:hAnsi="Arial Narrow"/>
          <w:sz w:val="22"/>
          <w:szCs w:val="22"/>
        </w:rPr>
        <w:t>% del PI</w:t>
      </w:r>
      <w:r>
        <w:rPr>
          <w:rFonts w:ascii="Arial Narrow" w:hAnsi="Arial Narrow"/>
          <w:sz w:val="22"/>
          <w:szCs w:val="22"/>
        </w:rPr>
        <w:t>B</w:t>
      </w:r>
      <w:r w:rsidR="008B3D1B">
        <w:rPr>
          <w:rFonts w:ascii="Arial Narrow" w:hAnsi="Arial Narrow"/>
          <w:sz w:val="22"/>
          <w:szCs w:val="22"/>
        </w:rPr>
        <w:t>.</w:t>
      </w:r>
    </w:p>
    <w:p w:rsidR="00F759B1" w:rsidRPr="003C2415" w:rsidRDefault="00F759B1" w:rsidP="00B83815">
      <w:pPr>
        <w:pStyle w:val="Sangradetextonormal"/>
        <w:ind w:firstLine="708"/>
        <w:rPr>
          <w:rFonts w:ascii="Arial Narrow" w:hAnsi="Arial Narrow"/>
          <w:sz w:val="22"/>
          <w:szCs w:val="22"/>
        </w:rPr>
      </w:pPr>
    </w:p>
    <w:p w:rsidR="00B83815" w:rsidRPr="003C2415" w:rsidRDefault="00B83815" w:rsidP="00B83815">
      <w:pPr>
        <w:pStyle w:val="Sangradetextonormal"/>
        <w:ind w:firstLine="708"/>
        <w:rPr>
          <w:rFonts w:ascii="Arial Narrow" w:hAnsi="Arial Narrow"/>
          <w:sz w:val="22"/>
          <w:szCs w:val="22"/>
        </w:rPr>
      </w:pPr>
      <w:r w:rsidRPr="003C2415">
        <w:rPr>
          <w:rFonts w:ascii="Arial Narrow" w:hAnsi="Arial Narrow"/>
          <w:sz w:val="22"/>
          <w:szCs w:val="22"/>
        </w:rPr>
        <w:t>Cabe señalar que</w:t>
      </w:r>
      <w:r>
        <w:rPr>
          <w:rFonts w:ascii="Arial Narrow" w:hAnsi="Arial Narrow"/>
          <w:sz w:val="22"/>
          <w:szCs w:val="22"/>
        </w:rPr>
        <w:t xml:space="preserve">, </w:t>
      </w:r>
      <w:r w:rsidR="008B3D1B">
        <w:rPr>
          <w:rFonts w:ascii="Arial Narrow" w:hAnsi="Arial Narrow"/>
          <w:sz w:val="22"/>
          <w:szCs w:val="22"/>
        </w:rPr>
        <w:t>la reducción del déficit, convirtiéndose en superávit, no implica disminuciones en la inversión con alto impacto social y económico, que busca promover un desarrollo incluyente, por lo que al incorporar estas inversiones, se propuso un déficit de 2.4 por ciento del PIB.</w:t>
      </w:r>
    </w:p>
    <w:p w:rsidR="00B83815" w:rsidRPr="003C2415" w:rsidRDefault="00B83815" w:rsidP="00B83815">
      <w:pPr>
        <w:pStyle w:val="Sangradetextonormal"/>
        <w:numPr>
          <w:ilvl w:val="0"/>
          <w:numId w:val="8"/>
        </w:numPr>
        <w:tabs>
          <w:tab w:val="clear" w:pos="1068"/>
          <w:tab w:val="num" w:pos="900"/>
        </w:tabs>
        <w:ind w:hanging="528"/>
        <w:jc w:val="left"/>
        <w:rPr>
          <w:rFonts w:ascii="Arial Narrow" w:hAnsi="Arial Narrow"/>
          <w:b/>
          <w:bCs/>
          <w:szCs w:val="28"/>
        </w:rPr>
      </w:pPr>
      <w:r w:rsidRPr="003C2415">
        <w:rPr>
          <w:rFonts w:ascii="Arial Narrow" w:hAnsi="Arial Narrow"/>
          <w:b/>
          <w:bCs/>
          <w:szCs w:val="28"/>
        </w:rPr>
        <w:lastRenderedPageBreak/>
        <w:t>Líneas de Acción</w:t>
      </w:r>
    </w:p>
    <w:p w:rsidR="00B83815" w:rsidRPr="00992D26" w:rsidRDefault="00B83815" w:rsidP="00F759B1">
      <w:pPr>
        <w:pStyle w:val="Sangradetextonormal"/>
        <w:spacing w:line="120" w:lineRule="auto"/>
        <w:ind w:firstLine="0"/>
        <w:jc w:val="left"/>
        <w:rPr>
          <w:rFonts w:ascii="Arial Narrow" w:hAnsi="Arial Narrow"/>
          <w:b/>
          <w:bCs/>
          <w:sz w:val="32"/>
          <w:szCs w:val="32"/>
        </w:rPr>
      </w:pPr>
    </w:p>
    <w:p w:rsidR="00B83815" w:rsidRPr="003C2415" w:rsidRDefault="00B83815" w:rsidP="00B83815">
      <w:pPr>
        <w:pStyle w:val="Sangradetextonormal"/>
        <w:ind w:firstLine="876"/>
        <w:rPr>
          <w:rFonts w:ascii="Arial Narrow" w:hAnsi="Arial Narrow"/>
          <w:sz w:val="22"/>
          <w:szCs w:val="22"/>
        </w:rPr>
      </w:pPr>
      <w:r>
        <w:rPr>
          <w:rFonts w:ascii="Arial Narrow" w:hAnsi="Arial Narrow"/>
          <w:sz w:val="22"/>
          <w:szCs w:val="22"/>
        </w:rPr>
        <w:t xml:space="preserve">En </w:t>
      </w:r>
      <w:r w:rsidR="000862E0">
        <w:rPr>
          <w:rFonts w:ascii="Arial Narrow" w:hAnsi="Arial Narrow"/>
          <w:sz w:val="22"/>
          <w:szCs w:val="22"/>
        </w:rPr>
        <w:t>el paquete económico para 2017</w:t>
      </w:r>
      <w:r>
        <w:rPr>
          <w:rFonts w:ascii="Arial Narrow" w:hAnsi="Arial Narrow"/>
          <w:sz w:val="22"/>
          <w:szCs w:val="22"/>
        </w:rPr>
        <w:t xml:space="preserve"> se consideró</w:t>
      </w:r>
      <w:r w:rsidRPr="003C2415">
        <w:rPr>
          <w:rFonts w:ascii="Arial Narrow" w:hAnsi="Arial Narrow"/>
          <w:sz w:val="22"/>
          <w:szCs w:val="22"/>
        </w:rPr>
        <w:t xml:space="preserve"> </w:t>
      </w:r>
      <w:r w:rsidR="006E32D6">
        <w:rPr>
          <w:rFonts w:ascii="Arial Narrow" w:hAnsi="Arial Narrow"/>
          <w:sz w:val="22"/>
          <w:szCs w:val="22"/>
        </w:rPr>
        <w:t xml:space="preserve">el enfrentamiento </w:t>
      </w:r>
      <w:r w:rsidR="000862E0">
        <w:rPr>
          <w:rFonts w:ascii="Arial Narrow" w:hAnsi="Arial Narrow"/>
          <w:sz w:val="22"/>
          <w:szCs w:val="22"/>
        </w:rPr>
        <w:t>de</w:t>
      </w:r>
      <w:r w:rsidR="006E32D6">
        <w:rPr>
          <w:rFonts w:ascii="Arial Narrow" w:hAnsi="Arial Narrow"/>
          <w:sz w:val="22"/>
          <w:szCs w:val="22"/>
        </w:rPr>
        <w:t xml:space="preserve"> retos importantes: 1).-</w:t>
      </w:r>
      <w:r w:rsidR="00210C7A">
        <w:rPr>
          <w:rFonts w:ascii="Arial Narrow" w:hAnsi="Arial Narrow"/>
          <w:sz w:val="22"/>
          <w:szCs w:val="22"/>
        </w:rPr>
        <w:t xml:space="preserve"> </w:t>
      </w:r>
      <w:r w:rsidR="000862E0">
        <w:rPr>
          <w:rFonts w:ascii="Arial Narrow" w:hAnsi="Arial Narrow"/>
          <w:sz w:val="22"/>
          <w:szCs w:val="22"/>
        </w:rPr>
        <w:t>el balance de riesgos para el crecimiento global es negativo debido a las condiciones financieras, el entorno geopolítico y la posible implementación de medidas proteccionistas</w:t>
      </w:r>
      <w:r w:rsidR="006E32D6">
        <w:rPr>
          <w:rFonts w:ascii="Arial Narrow" w:hAnsi="Arial Narrow"/>
          <w:sz w:val="22"/>
          <w:szCs w:val="22"/>
        </w:rPr>
        <w:t>; 2).-</w:t>
      </w:r>
      <w:r w:rsidR="00210C7A">
        <w:rPr>
          <w:rFonts w:ascii="Arial Narrow" w:hAnsi="Arial Narrow"/>
          <w:sz w:val="22"/>
          <w:szCs w:val="22"/>
        </w:rPr>
        <w:t xml:space="preserve"> </w:t>
      </w:r>
      <w:r w:rsidR="000862E0">
        <w:rPr>
          <w:rFonts w:ascii="Arial Narrow" w:hAnsi="Arial Narrow"/>
          <w:sz w:val="22"/>
          <w:szCs w:val="22"/>
        </w:rPr>
        <w:t>la producción de petróleo continúa su trayectoria decreciente que inició en 2004</w:t>
      </w:r>
      <w:r w:rsidR="006E32D6">
        <w:rPr>
          <w:rFonts w:ascii="Arial Narrow" w:hAnsi="Arial Narrow"/>
          <w:sz w:val="22"/>
          <w:szCs w:val="22"/>
        </w:rPr>
        <w:t xml:space="preserve">; 3).- </w:t>
      </w:r>
      <w:r w:rsidR="000862E0">
        <w:rPr>
          <w:rFonts w:ascii="Arial Narrow" w:hAnsi="Arial Narrow"/>
          <w:sz w:val="22"/>
          <w:szCs w:val="22"/>
        </w:rPr>
        <w:t>volatilidad, incertidumbre y riesgos que presenta el mercado de crudo en el mediano plazo</w:t>
      </w:r>
      <w:r w:rsidR="006E32D6">
        <w:rPr>
          <w:rFonts w:ascii="Arial Narrow" w:hAnsi="Arial Narrow"/>
          <w:sz w:val="22"/>
          <w:szCs w:val="22"/>
        </w:rPr>
        <w:t>.</w:t>
      </w:r>
    </w:p>
    <w:p w:rsidR="00B83815" w:rsidRPr="003C2415" w:rsidRDefault="00B83815" w:rsidP="00B83815">
      <w:pPr>
        <w:pStyle w:val="Sangradetextonormal"/>
        <w:ind w:firstLine="876"/>
        <w:rPr>
          <w:rFonts w:ascii="Arial Narrow" w:hAnsi="Arial Narrow"/>
          <w:sz w:val="22"/>
          <w:szCs w:val="22"/>
        </w:rPr>
      </w:pPr>
    </w:p>
    <w:p w:rsidR="00B51A88" w:rsidRDefault="00B83815" w:rsidP="00B51A88">
      <w:pPr>
        <w:pStyle w:val="Sangradetextonormal"/>
        <w:ind w:firstLine="876"/>
        <w:rPr>
          <w:rFonts w:ascii="Arial Narrow" w:hAnsi="Arial Narrow"/>
          <w:sz w:val="22"/>
          <w:szCs w:val="22"/>
        </w:rPr>
      </w:pPr>
      <w:r w:rsidRPr="003C2415">
        <w:rPr>
          <w:rFonts w:ascii="Arial Narrow" w:hAnsi="Arial Narrow"/>
          <w:sz w:val="22"/>
          <w:szCs w:val="22"/>
        </w:rPr>
        <w:t xml:space="preserve"> </w:t>
      </w:r>
      <w:r>
        <w:rPr>
          <w:rFonts w:ascii="Arial Narrow" w:hAnsi="Arial Narrow"/>
          <w:sz w:val="22"/>
          <w:szCs w:val="22"/>
        </w:rPr>
        <w:t xml:space="preserve">Por el lado de los ingresos públicos, </w:t>
      </w:r>
      <w:r w:rsidRPr="003C2415">
        <w:rPr>
          <w:rFonts w:ascii="Arial Narrow" w:hAnsi="Arial Narrow"/>
          <w:sz w:val="22"/>
          <w:szCs w:val="22"/>
        </w:rPr>
        <w:t>se enfatizó que para el año que se reporta</w:t>
      </w:r>
      <w:r w:rsidR="00B51A88">
        <w:rPr>
          <w:rFonts w:ascii="Arial Narrow" w:hAnsi="Arial Narrow"/>
          <w:sz w:val="22"/>
          <w:szCs w:val="22"/>
        </w:rPr>
        <w:t xml:space="preserve"> </w:t>
      </w:r>
      <w:r w:rsidR="00B51A88" w:rsidRPr="00B51A88">
        <w:rPr>
          <w:rFonts w:ascii="Arial Narrow" w:hAnsi="Arial Narrow"/>
          <w:sz w:val="22"/>
          <w:szCs w:val="22"/>
        </w:rPr>
        <w:t>se mantiene el compromiso con el Acuerdo de</w:t>
      </w:r>
      <w:r w:rsidR="00B51A88">
        <w:rPr>
          <w:rFonts w:ascii="Arial Narrow" w:hAnsi="Arial Narrow"/>
          <w:sz w:val="22"/>
          <w:szCs w:val="22"/>
        </w:rPr>
        <w:t xml:space="preserve"> </w:t>
      </w:r>
      <w:r w:rsidR="00B51A88" w:rsidRPr="00B51A88">
        <w:rPr>
          <w:rFonts w:ascii="Arial Narrow" w:hAnsi="Arial Narrow"/>
          <w:sz w:val="22"/>
          <w:szCs w:val="22"/>
        </w:rPr>
        <w:t>Certidumbre Tributaria, es decir, la Iniciativa de Ley de Ingresos de la Federación (ILIF) para</w:t>
      </w:r>
      <w:r w:rsidR="00B51A88">
        <w:rPr>
          <w:rFonts w:ascii="Arial Narrow" w:hAnsi="Arial Narrow"/>
          <w:sz w:val="22"/>
          <w:szCs w:val="22"/>
        </w:rPr>
        <w:t xml:space="preserve"> </w:t>
      </w:r>
      <w:r w:rsidR="00210C7A">
        <w:rPr>
          <w:rFonts w:ascii="Arial Narrow" w:hAnsi="Arial Narrow"/>
          <w:sz w:val="22"/>
          <w:szCs w:val="22"/>
        </w:rPr>
        <w:t>2017 no propuso</w:t>
      </w:r>
      <w:r w:rsidR="00B51A88" w:rsidRPr="00B51A88">
        <w:rPr>
          <w:rFonts w:ascii="Arial Narrow" w:hAnsi="Arial Narrow"/>
          <w:sz w:val="22"/>
          <w:szCs w:val="22"/>
        </w:rPr>
        <w:t xml:space="preserve"> la creación de nuevos impuestos, ni incrementar las tasas de los ya existentes,</w:t>
      </w:r>
      <w:r w:rsidR="00B51A88">
        <w:rPr>
          <w:rFonts w:ascii="Arial Narrow" w:hAnsi="Arial Narrow"/>
          <w:sz w:val="22"/>
          <w:szCs w:val="22"/>
        </w:rPr>
        <w:t xml:space="preserve"> </w:t>
      </w:r>
      <w:r w:rsidR="00B51A88" w:rsidRPr="00B51A88">
        <w:rPr>
          <w:rFonts w:ascii="Arial Narrow" w:hAnsi="Arial Narrow"/>
          <w:sz w:val="22"/>
          <w:szCs w:val="22"/>
        </w:rPr>
        <w:t>o cualquier otra modif</w:t>
      </w:r>
      <w:r w:rsidR="00210C7A">
        <w:rPr>
          <w:rFonts w:ascii="Arial Narrow" w:hAnsi="Arial Narrow"/>
          <w:sz w:val="22"/>
          <w:szCs w:val="22"/>
        </w:rPr>
        <w:t>icación que resultara</w:t>
      </w:r>
      <w:r w:rsidR="00B51A88" w:rsidRPr="00B51A88">
        <w:rPr>
          <w:rFonts w:ascii="Arial Narrow" w:hAnsi="Arial Narrow"/>
          <w:sz w:val="22"/>
          <w:szCs w:val="22"/>
        </w:rPr>
        <w:t xml:space="preserve"> en aumentos de la carga tributaria de los</w:t>
      </w:r>
      <w:r w:rsidR="00B51A88">
        <w:rPr>
          <w:rFonts w:ascii="Arial Narrow" w:hAnsi="Arial Narrow"/>
          <w:sz w:val="22"/>
          <w:szCs w:val="22"/>
        </w:rPr>
        <w:t xml:space="preserve"> contribuyentes. </w:t>
      </w:r>
    </w:p>
    <w:p w:rsidR="00B51A88" w:rsidRDefault="00B51A88" w:rsidP="00B51A88">
      <w:pPr>
        <w:pStyle w:val="Sangradetextonormal"/>
        <w:ind w:firstLine="876"/>
        <w:rPr>
          <w:rFonts w:ascii="Arial Narrow" w:hAnsi="Arial Narrow"/>
          <w:sz w:val="22"/>
          <w:szCs w:val="22"/>
        </w:rPr>
      </w:pPr>
    </w:p>
    <w:p w:rsidR="00F759B1" w:rsidRDefault="00B51A88" w:rsidP="00B51A88">
      <w:pPr>
        <w:pStyle w:val="Sangradetextonormal"/>
        <w:ind w:firstLine="876"/>
        <w:rPr>
          <w:rFonts w:ascii="Arial Narrow" w:hAnsi="Arial Narrow"/>
          <w:sz w:val="22"/>
          <w:szCs w:val="22"/>
        </w:rPr>
      </w:pPr>
      <w:r>
        <w:rPr>
          <w:rFonts w:ascii="Arial Narrow" w:hAnsi="Arial Narrow"/>
          <w:sz w:val="22"/>
          <w:szCs w:val="22"/>
        </w:rPr>
        <w:t>E</w:t>
      </w:r>
      <w:r w:rsidRPr="00B51A88">
        <w:rPr>
          <w:rFonts w:ascii="Arial Narrow" w:hAnsi="Arial Narrow"/>
          <w:sz w:val="22"/>
          <w:szCs w:val="22"/>
        </w:rPr>
        <w:t>n consecuencia, por t</w:t>
      </w:r>
      <w:r>
        <w:rPr>
          <w:rFonts w:ascii="Arial Narrow" w:hAnsi="Arial Narrow"/>
          <w:sz w:val="22"/>
          <w:szCs w:val="22"/>
        </w:rPr>
        <w:t>ercer año consecutivo se planteó</w:t>
      </w:r>
      <w:r w:rsidRPr="00B51A88">
        <w:rPr>
          <w:rFonts w:ascii="Arial Narrow" w:hAnsi="Arial Narrow"/>
          <w:sz w:val="22"/>
          <w:szCs w:val="22"/>
        </w:rPr>
        <w:t xml:space="preserve"> preservar la estructura</w:t>
      </w:r>
      <w:r>
        <w:rPr>
          <w:rFonts w:ascii="Arial Narrow" w:hAnsi="Arial Narrow"/>
          <w:sz w:val="22"/>
          <w:szCs w:val="22"/>
        </w:rPr>
        <w:t xml:space="preserve"> </w:t>
      </w:r>
      <w:r w:rsidRPr="00B51A88">
        <w:rPr>
          <w:rFonts w:ascii="Arial Narrow" w:hAnsi="Arial Narrow"/>
          <w:sz w:val="22"/>
          <w:szCs w:val="22"/>
        </w:rPr>
        <w:t>tributaria, proponiendo únicamente medidas específicas orientadas a consolidar los esfuerzos</w:t>
      </w:r>
      <w:r>
        <w:rPr>
          <w:rFonts w:ascii="Arial Narrow" w:hAnsi="Arial Narrow"/>
          <w:sz w:val="22"/>
          <w:szCs w:val="22"/>
        </w:rPr>
        <w:t xml:space="preserve"> </w:t>
      </w:r>
      <w:r w:rsidRPr="00B51A88">
        <w:rPr>
          <w:rFonts w:ascii="Arial Narrow" w:hAnsi="Arial Narrow"/>
          <w:sz w:val="22"/>
          <w:szCs w:val="22"/>
        </w:rPr>
        <w:t>en materia de simplificación, promoció</w:t>
      </w:r>
      <w:r w:rsidR="006E1211">
        <w:rPr>
          <w:rFonts w:ascii="Arial Narrow" w:hAnsi="Arial Narrow"/>
          <w:sz w:val="22"/>
          <w:szCs w:val="22"/>
        </w:rPr>
        <w:t>n de la inversión y el ahorro, así como</w:t>
      </w:r>
      <w:r w:rsidRPr="00B51A88">
        <w:rPr>
          <w:rFonts w:ascii="Arial Narrow" w:hAnsi="Arial Narrow"/>
          <w:sz w:val="22"/>
          <w:szCs w:val="22"/>
        </w:rPr>
        <w:t xml:space="preserve"> certeza jurídica e impulso</w:t>
      </w:r>
      <w:r>
        <w:rPr>
          <w:rFonts w:ascii="Arial Narrow" w:hAnsi="Arial Narrow"/>
          <w:sz w:val="22"/>
          <w:szCs w:val="22"/>
        </w:rPr>
        <w:t xml:space="preserve"> </w:t>
      </w:r>
      <w:r w:rsidRPr="00B51A88">
        <w:rPr>
          <w:rFonts w:ascii="Arial Narrow" w:hAnsi="Arial Narrow"/>
          <w:sz w:val="22"/>
          <w:szCs w:val="22"/>
        </w:rPr>
        <w:t>a secto</w:t>
      </w:r>
      <w:r>
        <w:rPr>
          <w:rFonts w:ascii="Arial Narrow" w:hAnsi="Arial Narrow"/>
          <w:sz w:val="22"/>
          <w:szCs w:val="22"/>
        </w:rPr>
        <w:t>res estratégicos. Dichas</w:t>
      </w:r>
      <w:r w:rsidRPr="00B51A88">
        <w:rPr>
          <w:rFonts w:ascii="Arial Narrow" w:hAnsi="Arial Narrow"/>
          <w:sz w:val="22"/>
          <w:szCs w:val="22"/>
        </w:rPr>
        <w:t xml:space="preserve"> medidas tiene</w:t>
      </w:r>
      <w:r>
        <w:rPr>
          <w:rFonts w:ascii="Arial Narrow" w:hAnsi="Arial Narrow"/>
          <w:sz w:val="22"/>
          <w:szCs w:val="22"/>
        </w:rPr>
        <w:t>n</w:t>
      </w:r>
      <w:r w:rsidRPr="00B51A88">
        <w:rPr>
          <w:rFonts w:ascii="Arial Narrow" w:hAnsi="Arial Narrow"/>
          <w:sz w:val="22"/>
          <w:szCs w:val="22"/>
        </w:rPr>
        <w:t xml:space="preserve"> como objetivo atender aspectos</w:t>
      </w:r>
      <w:r>
        <w:rPr>
          <w:rFonts w:ascii="Arial Narrow" w:hAnsi="Arial Narrow"/>
          <w:sz w:val="22"/>
          <w:szCs w:val="22"/>
        </w:rPr>
        <w:t xml:space="preserve"> </w:t>
      </w:r>
      <w:r w:rsidRPr="00B51A88">
        <w:rPr>
          <w:rFonts w:ascii="Arial Narrow" w:hAnsi="Arial Narrow"/>
          <w:sz w:val="22"/>
          <w:szCs w:val="22"/>
        </w:rPr>
        <w:t>específicos del marco tributario que detonen mayor inversión y crecimiento de la economía, sin</w:t>
      </w:r>
      <w:r>
        <w:rPr>
          <w:rFonts w:ascii="Arial Narrow" w:hAnsi="Arial Narrow"/>
          <w:sz w:val="22"/>
          <w:szCs w:val="22"/>
        </w:rPr>
        <w:t xml:space="preserve"> </w:t>
      </w:r>
      <w:r w:rsidRPr="00B51A88">
        <w:rPr>
          <w:rFonts w:ascii="Arial Narrow" w:hAnsi="Arial Narrow"/>
          <w:sz w:val="22"/>
          <w:szCs w:val="22"/>
        </w:rPr>
        <w:t>debilitar los ingresos públicos, contribuyendo a consolidar la estabilidad de la economía nacional</w:t>
      </w:r>
      <w:r w:rsidR="00F759B1">
        <w:rPr>
          <w:rFonts w:ascii="Arial Narrow" w:hAnsi="Arial Narrow"/>
          <w:sz w:val="22"/>
          <w:szCs w:val="22"/>
        </w:rPr>
        <w:t>.</w:t>
      </w:r>
    </w:p>
    <w:p w:rsidR="00F759B1" w:rsidRDefault="00F759B1" w:rsidP="00B83815">
      <w:pPr>
        <w:pStyle w:val="Sangradetextonormal"/>
        <w:ind w:firstLine="876"/>
        <w:rPr>
          <w:rFonts w:ascii="Arial Narrow" w:hAnsi="Arial Narrow"/>
          <w:sz w:val="22"/>
          <w:szCs w:val="22"/>
        </w:rPr>
      </w:pPr>
    </w:p>
    <w:p w:rsidR="00F759B1" w:rsidRDefault="00B83815" w:rsidP="00153E58">
      <w:pPr>
        <w:pStyle w:val="Sangradetextonormal"/>
        <w:ind w:firstLine="993"/>
        <w:rPr>
          <w:rFonts w:ascii="Arial Narrow" w:hAnsi="Arial Narrow"/>
          <w:sz w:val="22"/>
          <w:szCs w:val="22"/>
        </w:rPr>
      </w:pPr>
      <w:r w:rsidRPr="003C2415">
        <w:rPr>
          <w:rFonts w:ascii="Arial Narrow" w:hAnsi="Arial Narrow"/>
          <w:sz w:val="22"/>
          <w:szCs w:val="22"/>
        </w:rPr>
        <w:t xml:space="preserve">Por la parte de los egresos públicos, </w:t>
      </w:r>
      <w:r w:rsidR="00153E58">
        <w:rPr>
          <w:rFonts w:ascii="Arial Narrow" w:hAnsi="Arial Narrow"/>
          <w:sz w:val="22"/>
          <w:szCs w:val="22"/>
        </w:rPr>
        <w:t>para 2017</w:t>
      </w:r>
      <w:r w:rsidR="00845C0F">
        <w:rPr>
          <w:rFonts w:ascii="Arial Narrow" w:hAnsi="Arial Narrow"/>
          <w:sz w:val="22"/>
          <w:szCs w:val="22"/>
        </w:rPr>
        <w:t xml:space="preserve"> la política de gasto </w:t>
      </w:r>
      <w:r w:rsidR="00747441">
        <w:rPr>
          <w:rFonts w:ascii="Arial Narrow" w:hAnsi="Arial Narrow"/>
          <w:sz w:val="22"/>
          <w:szCs w:val="22"/>
        </w:rPr>
        <w:t xml:space="preserve">se concentró </w:t>
      </w:r>
      <w:r w:rsidR="00153E58">
        <w:rPr>
          <w:rFonts w:ascii="Arial Narrow" w:hAnsi="Arial Narrow"/>
          <w:sz w:val="22"/>
          <w:szCs w:val="22"/>
        </w:rPr>
        <w:t xml:space="preserve">en </w:t>
      </w:r>
      <w:r w:rsidR="00153E58" w:rsidRPr="00153E58">
        <w:rPr>
          <w:rFonts w:ascii="Arial Narrow" w:hAnsi="Arial Narrow"/>
          <w:sz w:val="22"/>
          <w:szCs w:val="22"/>
        </w:rPr>
        <w:t>la consolidación del esfuerzo de</w:t>
      </w:r>
      <w:r w:rsidR="00153E58">
        <w:rPr>
          <w:rFonts w:ascii="Arial Narrow" w:hAnsi="Arial Narrow"/>
          <w:sz w:val="22"/>
          <w:szCs w:val="22"/>
        </w:rPr>
        <w:t xml:space="preserve"> </w:t>
      </w:r>
      <w:r w:rsidR="00153E58" w:rsidRPr="00153E58">
        <w:rPr>
          <w:rFonts w:ascii="Arial Narrow" w:hAnsi="Arial Narrow"/>
          <w:sz w:val="22"/>
          <w:szCs w:val="22"/>
        </w:rPr>
        <w:t xml:space="preserve">reingeniería del gasto público </w:t>
      </w:r>
      <w:r w:rsidR="00153E58">
        <w:rPr>
          <w:rFonts w:ascii="Arial Narrow" w:hAnsi="Arial Narrow"/>
          <w:sz w:val="22"/>
          <w:szCs w:val="22"/>
        </w:rPr>
        <w:t xml:space="preserve">iniciado en </w:t>
      </w:r>
      <w:r w:rsidR="00153E58" w:rsidRPr="00153E58">
        <w:rPr>
          <w:rFonts w:ascii="Arial Narrow" w:hAnsi="Arial Narrow"/>
          <w:sz w:val="22"/>
          <w:szCs w:val="22"/>
        </w:rPr>
        <w:t xml:space="preserve"> la </w:t>
      </w:r>
      <w:r w:rsidR="00153E58">
        <w:rPr>
          <w:rFonts w:ascii="Arial Narrow" w:hAnsi="Arial Narrow"/>
          <w:sz w:val="22"/>
          <w:szCs w:val="22"/>
        </w:rPr>
        <w:t xml:space="preserve">conformación del PPEF 2016 y </w:t>
      </w:r>
      <w:r w:rsidR="00153E58" w:rsidRPr="00153E58">
        <w:rPr>
          <w:rFonts w:ascii="Arial Narrow" w:hAnsi="Arial Narrow"/>
          <w:sz w:val="22"/>
          <w:szCs w:val="22"/>
        </w:rPr>
        <w:t>también</w:t>
      </w:r>
      <w:r w:rsidR="00153E58">
        <w:rPr>
          <w:rFonts w:ascii="Arial Narrow" w:hAnsi="Arial Narrow"/>
          <w:sz w:val="22"/>
          <w:szCs w:val="22"/>
        </w:rPr>
        <w:t xml:space="preserve"> en </w:t>
      </w:r>
      <w:r w:rsidR="00153E58" w:rsidRPr="00153E58">
        <w:rPr>
          <w:rFonts w:ascii="Arial Narrow" w:hAnsi="Arial Narrow"/>
          <w:sz w:val="22"/>
          <w:szCs w:val="22"/>
        </w:rPr>
        <w:t xml:space="preserve">la contención del </w:t>
      </w:r>
      <w:r w:rsidR="00D80155">
        <w:rPr>
          <w:rFonts w:ascii="Arial Narrow" w:hAnsi="Arial Narrow"/>
          <w:sz w:val="22"/>
          <w:szCs w:val="22"/>
        </w:rPr>
        <w:t xml:space="preserve">gasto en servicios personales, </w:t>
      </w:r>
      <w:r w:rsidR="00153E58" w:rsidRPr="00153E58">
        <w:rPr>
          <w:rFonts w:ascii="Arial Narrow" w:hAnsi="Arial Narrow"/>
          <w:sz w:val="22"/>
          <w:szCs w:val="22"/>
        </w:rPr>
        <w:t>la disminución de los gastos de operación, así</w:t>
      </w:r>
      <w:r w:rsidR="00153E58">
        <w:rPr>
          <w:rFonts w:ascii="Arial Narrow" w:hAnsi="Arial Narrow"/>
          <w:sz w:val="22"/>
          <w:szCs w:val="22"/>
        </w:rPr>
        <w:t xml:space="preserve"> </w:t>
      </w:r>
      <w:r w:rsidR="00153E58" w:rsidRPr="00153E58">
        <w:rPr>
          <w:rFonts w:ascii="Arial Narrow" w:hAnsi="Arial Narrow"/>
          <w:sz w:val="22"/>
          <w:szCs w:val="22"/>
        </w:rPr>
        <w:t>como la adopción de alternativas de financiamiento, en especial en materia de inversión pública,</w:t>
      </w:r>
      <w:r w:rsidR="00153E58">
        <w:rPr>
          <w:rFonts w:ascii="Arial Narrow" w:hAnsi="Arial Narrow"/>
          <w:sz w:val="22"/>
          <w:szCs w:val="22"/>
        </w:rPr>
        <w:t xml:space="preserve"> </w:t>
      </w:r>
      <w:r w:rsidR="00153E58" w:rsidRPr="00153E58">
        <w:rPr>
          <w:rFonts w:ascii="Arial Narrow" w:hAnsi="Arial Narrow"/>
          <w:sz w:val="22"/>
          <w:szCs w:val="22"/>
        </w:rPr>
        <w:t>como las Asociaciones Público Privadas (APP), además de asignar recursos para los primeros</w:t>
      </w:r>
      <w:r w:rsidR="00153E58">
        <w:rPr>
          <w:rFonts w:ascii="Arial Narrow" w:hAnsi="Arial Narrow"/>
          <w:sz w:val="22"/>
          <w:szCs w:val="22"/>
        </w:rPr>
        <w:t xml:space="preserve"> </w:t>
      </w:r>
      <w:r w:rsidR="00153E58" w:rsidRPr="00153E58">
        <w:rPr>
          <w:rFonts w:ascii="Arial Narrow" w:hAnsi="Arial Narrow"/>
          <w:sz w:val="22"/>
          <w:szCs w:val="22"/>
        </w:rPr>
        <w:t>proyectos para el desarrollo de las Zonas Económicas Especiales (ZEE)</w:t>
      </w:r>
      <w:r w:rsidR="00D80155">
        <w:rPr>
          <w:rFonts w:ascii="Arial Narrow" w:hAnsi="Arial Narrow"/>
          <w:sz w:val="22"/>
          <w:szCs w:val="22"/>
        </w:rPr>
        <w:t>.</w:t>
      </w:r>
    </w:p>
    <w:p w:rsidR="00F759B1" w:rsidRDefault="00F759B1" w:rsidP="00B83815">
      <w:pPr>
        <w:pStyle w:val="Sangradetextonormal"/>
        <w:ind w:firstLine="993"/>
        <w:rPr>
          <w:rFonts w:ascii="Arial Narrow" w:hAnsi="Arial Narrow"/>
          <w:sz w:val="22"/>
          <w:szCs w:val="22"/>
        </w:rPr>
      </w:pPr>
    </w:p>
    <w:p w:rsidR="00B83815" w:rsidRDefault="00153E58" w:rsidP="00B83815">
      <w:pPr>
        <w:pStyle w:val="Sangradetextonormal"/>
        <w:ind w:firstLine="993"/>
        <w:rPr>
          <w:rFonts w:ascii="Arial Narrow" w:hAnsi="Arial Narrow"/>
          <w:sz w:val="22"/>
          <w:szCs w:val="22"/>
        </w:rPr>
      </w:pPr>
      <w:r>
        <w:rPr>
          <w:rFonts w:ascii="Arial Narrow" w:hAnsi="Arial Narrow"/>
          <w:sz w:val="22"/>
          <w:szCs w:val="22"/>
        </w:rPr>
        <w:t xml:space="preserve">Al efecto, el escenario planteado se basó principalmente en cuatro elementos: 1).- contención de los recursos destinados a servicios personales a través de la unificación de áreas con funciones comunes y </w:t>
      </w:r>
      <w:r>
        <w:rPr>
          <w:rFonts w:ascii="Arial Narrow" w:hAnsi="Arial Narrow"/>
          <w:sz w:val="22"/>
          <w:szCs w:val="22"/>
        </w:rPr>
        <w:lastRenderedPageBreak/>
        <w:t xml:space="preserve">homologación de estructuras de mando y enlace; 2).- reducción en los gastos de operación continuando con el proceso </w:t>
      </w:r>
      <w:r w:rsidR="00D355F4">
        <w:rPr>
          <w:rFonts w:ascii="Arial Narrow" w:hAnsi="Arial Narrow"/>
          <w:sz w:val="22"/>
          <w:szCs w:val="22"/>
        </w:rPr>
        <w:t>de austeridad comenzado en 2016; 3).- privilegiar programas que contribuyen a la reducción de la pobreza a través de la disminución de las carencias sociales; 4).- priorización de la inversión productiva sobre la administrativa.</w:t>
      </w:r>
    </w:p>
    <w:p w:rsidR="00845C0F" w:rsidRPr="003C2415" w:rsidRDefault="00845C0F" w:rsidP="00B83815">
      <w:pPr>
        <w:pStyle w:val="Sangradetextonormal"/>
        <w:ind w:firstLine="993"/>
        <w:rPr>
          <w:rFonts w:ascii="Arial Narrow" w:hAnsi="Arial Narrow"/>
          <w:sz w:val="22"/>
          <w:szCs w:val="22"/>
        </w:rPr>
      </w:pPr>
    </w:p>
    <w:p w:rsidR="00F759B1" w:rsidRDefault="00B83815" w:rsidP="00D355F4">
      <w:pPr>
        <w:pStyle w:val="Sangradetextonormal"/>
        <w:ind w:firstLine="993"/>
        <w:rPr>
          <w:rFonts w:ascii="Arial Narrow" w:hAnsi="Arial Narrow"/>
          <w:sz w:val="22"/>
          <w:szCs w:val="22"/>
        </w:rPr>
      </w:pPr>
      <w:r w:rsidRPr="003C2415">
        <w:rPr>
          <w:rFonts w:ascii="Arial Narrow" w:hAnsi="Arial Narrow"/>
          <w:sz w:val="22"/>
          <w:szCs w:val="22"/>
        </w:rPr>
        <w:t>En materia de e</w:t>
      </w:r>
      <w:r w:rsidR="00FA68B0">
        <w:rPr>
          <w:rFonts w:ascii="Arial Narrow" w:hAnsi="Arial Narrow"/>
          <w:sz w:val="22"/>
          <w:szCs w:val="22"/>
        </w:rPr>
        <w:t>ndeudamiento, se planteó</w:t>
      </w:r>
      <w:r>
        <w:rPr>
          <w:rFonts w:ascii="Arial Narrow" w:hAnsi="Arial Narrow"/>
          <w:sz w:val="22"/>
          <w:szCs w:val="22"/>
        </w:rPr>
        <w:t xml:space="preserve"> </w:t>
      </w:r>
      <w:r w:rsidR="00D355F4">
        <w:rPr>
          <w:rFonts w:ascii="Arial Narrow" w:hAnsi="Arial Narrow"/>
          <w:sz w:val="22"/>
          <w:szCs w:val="22"/>
        </w:rPr>
        <w:t>que l</w:t>
      </w:r>
      <w:r w:rsidR="00D355F4" w:rsidRPr="00D355F4">
        <w:rPr>
          <w:rFonts w:ascii="Arial Narrow" w:hAnsi="Arial Narrow"/>
          <w:sz w:val="22"/>
          <w:szCs w:val="22"/>
        </w:rPr>
        <w:t>a estrategia actual de consolidación fiscal está orientada a disminuir las necesidades de</w:t>
      </w:r>
      <w:r w:rsidR="00D355F4">
        <w:rPr>
          <w:rFonts w:ascii="Arial Narrow" w:hAnsi="Arial Narrow"/>
          <w:sz w:val="22"/>
          <w:szCs w:val="22"/>
        </w:rPr>
        <w:t xml:space="preserve"> </w:t>
      </w:r>
      <w:r w:rsidR="00D355F4" w:rsidRPr="00D355F4">
        <w:rPr>
          <w:rFonts w:ascii="Arial Narrow" w:hAnsi="Arial Narrow"/>
          <w:sz w:val="22"/>
          <w:szCs w:val="22"/>
        </w:rPr>
        <w:t>financiamiento neto del Sector Público y mantener una trayectoria sostenible de la deuda</w:t>
      </w:r>
      <w:r w:rsidR="00D355F4">
        <w:rPr>
          <w:rFonts w:ascii="Arial Narrow" w:hAnsi="Arial Narrow"/>
          <w:sz w:val="22"/>
          <w:szCs w:val="22"/>
        </w:rPr>
        <w:t xml:space="preserve"> </w:t>
      </w:r>
      <w:r w:rsidR="00D355F4" w:rsidRPr="00D355F4">
        <w:rPr>
          <w:rFonts w:ascii="Arial Narrow" w:hAnsi="Arial Narrow"/>
          <w:sz w:val="22"/>
          <w:szCs w:val="22"/>
        </w:rPr>
        <w:t>pública.</w:t>
      </w:r>
      <w:r w:rsidR="00FA68B0">
        <w:rPr>
          <w:rFonts w:ascii="Arial Narrow" w:hAnsi="Arial Narrow"/>
          <w:sz w:val="22"/>
          <w:szCs w:val="22"/>
        </w:rPr>
        <w:t xml:space="preserve"> </w:t>
      </w:r>
    </w:p>
    <w:p w:rsidR="00F759B1" w:rsidRDefault="00F759B1" w:rsidP="00B83815">
      <w:pPr>
        <w:pStyle w:val="Sangradetextonormal"/>
        <w:ind w:firstLine="993"/>
        <w:rPr>
          <w:rFonts w:ascii="Arial Narrow" w:hAnsi="Arial Narrow"/>
          <w:sz w:val="22"/>
          <w:szCs w:val="22"/>
        </w:rPr>
      </w:pPr>
    </w:p>
    <w:p w:rsidR="00B83815" w:rsidRPr="003C2415" w:rsidRDefault="00F759B1" w:rsidP="00D355F4">
      <w:pPr>
        <w:pStyle w:val="Sangradetextonormal"/>
        <w:ind w:firstLine="993"/>
        <w:rPr>
          <w:rFonts w:ascii="Arial Narrow" w:hAnsi="Arial Narrow"/>
          <w:sz w:val="22"/>
          <w:szCs w:val="22"/>
        </w:rPr>
      </w:pPr>
      <w:r>
        <w:rPr>
          <w:rFonts w:ascii="Arial Narrow" w:hAnsi="Arial Narrow"/>
          <w:sz w:val="22"/>
          <w:szCs w:val="22"/>
        </w:rPr>
        <w:t>En este sentido</w:t>
      </w:r>
      <w:r w:rsidR="00FA68B0">
        <w:rPr>
          <w:rFonts w:ascii="Arial Narrow" w:hAnsi="Arial Narrow"/>
          <w:sz w:val="22"/>
          <w:szCs w:val="22"/>
        </w:rPr>
        <w:t xml:space="preserve">, se subrayó </w:t>
      </w:r>
      <w:r w:rsidR="00D355F4">
        <w:rPr>
          <w:rFonts w:ascii="Arial Narrow" w:hAnsi="Arial Narrow"/>
          <w:sz w:val="22"/>
          <w:szCs w:val="22"/>
        </w:rPr>
        <w:t xml:space="preserve">que la </w:t>
      </w:r>
      <w:r w:rsidR="00D355F4" w:rsidRPr="00D355F4">
        <w:rPr>
          <w:rFonts w:ascii="Arial Narrow" w:hAnsi="Arial Narrow"/>
          <w:sz w:val="22"/>
          <w:szCs w:val="22"/>
        </w:rPr>
        <w:t xml:space="preserve">política </w:t>
      </w:r>
      <w:r w:rsidR="00D355F4">
        <w:rPr>
          <w:rFonts w:ascii="Arial Narrow" w:hAnsi="Arial Narrow"/>
          <w:sz w:val="22"/>
          <w:szCs w:val="22"/>
        </w:rPr>
        <w:t>de deuda pública para 2017 contempla los siguientes elementos: 1</w:t>
      </w:r>
      <w:r w:rsidR="00D355F4" w:rsidRPr="00D355F4">
        <w:rPr>
          <w:rFonts w:ascii="Arial Narrow" w:hAnsi="Arial Narrow"/>
          <w:sz w:val="22"/>
          <w:szCs w:val="22"/>
        </w:rPr>
        <w:t>)</w:t>
      </w:r>
      <w:r w:rsidR="00D355F4">
        <w:rPr>
          <w:rFonts w:ascii="Arial Narrow" w:hAnsi="Arial Narrow"/>
          <w:sz w:val="22"/>
          <w:szCs w:val="22"/>
        </w:rPr>
        <w:t>.-</w:t>
      </w:r>
      <w:r w:rsidR="00D355F4" w:rsidRPr="00D355F4">
        <w:rPr>
          <w:rFonts w:ascii="Arial Narrow" w:hAnsi="Arial Narrow"/>
          <w:sz w:val="22"/>
          <w:szCs w:val="22"/>
        </w:rPr>
        <w:t xml:space="preserve"> cubrir las</w:t>
      </w:r>
      <w:r w:rsidR="00D355F4">
        <w:rPr>
          <w:rFonts w:ascii="Arial Narrow" w:hAnsi="Arial Narrow"/>
          <w:sz w:val="22"/>
          <w:szCs w:val="22"/>
        </w:rPr>
        <w:t xml:space="preserve"> </w:t>
      </w:r>
      <w:r w:rsidR="00D355F4" w:rsidRPr="00D355F4">
        <w:rPr>
          <w:rFonts w:ascii="Arial Narrow" w:hAnsi="Arial Narrow"/>
          <w:sz w:val="22"/>
          <w:szCs w:val="22"/>
        </w:rPr>
        <w:t>necesidades de financiamiento del Gobierno Federal con bajos costos, considerando un</w:t>
      </w:r>
      <w:r w:rsidR="00D355F4">
        <w:rPr>
          <w:rFonts w:ascii="Arial Narrow" w:hAnsi="Arial Narrow"/>
          <w:sz w:val="22"/>
          <w:szCs w:val="22"/>
        </w:rPr>
        <w:t xml:space="preserve"> </w:t>
      </w:r>
      <w:r w:rsidR="00D355F4" w:rsidRPr="00D355F4">
        <w:rPr>
          <w:rFonts w:ascii="Arial Narrow" w:hAnsi="Arial Narrow"/>
          <w:sz w:val="22"/>
          <w:szCs w:val="22"/>
        </w:rPr>
        <w:t>horizonte de largo plazo, un bajo nivel de riesgo y tomando en cuenta posibles escenarios</w:t>
      </w:r>
      <w:r w:rsidR="00D355F4">
        <w:rPr>
          <w:rFonts w:ascii="Arial Narrow" w:hAnsi="Arial Narrow"/>
          <w:sz w:val="22"/>
          <w:szCs w:val="22"/>
        </w:rPr>
        <w:t xml:space="preserve"> extremos; 2</w:t>
      </w:r>
      <w:r w:rsidR="00D355F4" w:rsidRPr="00D355F4">
        <w:rPr>
          <w:rFonts w:ascii="Arial Narrow" w:hAnsi="Arial Narrow"/>
          <w:sz w:val="22"/>
          <w:szCs w:val="22"/>
        </w:rPr>
        <w:t>)</w:t>
      </w:r>
      <w:r w:rsidR="00D355F4">
        <w:rPr>
          <w:rFonts w:ascii="Arial Narrow" w:hAnsi="Arial Narrow"/>
          <w:sz w:val="22"/>
          <w:szCs w:val="22"/>
        </w:rPr>
        <w:t>.-</w:t>
      </w:r>
      <w:r w:rsidR="00D355F4" w:rsidRPr="00D355F4">
        <w:rPr>
          <w:rFonts w:ascii="Arial Narrow" w:hAnsi="Arial Narrow"/>
          <w:sz w:val="22"/>
          <w:szCs w:val="22"/>
        </w:rPr>
        <w:t xml:space="preserve"> dar un seguimiento cercano a la evolución de los mercados financieros con el fin</w:t>
      </w:r>
      <w:r w:rsidR="00D355F4">
        <w:rPr>
          <w:rFonts w:ascii="Arial Narrow" w:hAnsi="Arial Narrow"/>
          <w:sz w:val="22"/>
          <w:szCs w:val="22"/>
        </w:rPr>
        <w:t xml:space="preserve"> </w:t>
      </w:r>
      <w:r w:rsidR="00D355F4" w:rsidRPr="00D355F4">
        <w:rPr>
          <w:rFonts w:ascii="Arial Narrow" w:hAnsi="Arial Narrow"/>
          <w:sz w:val="22"/>
          <w:szCs w:val="22"/>
        </w:rPr>
        <w:t>de diseñar una estrategia de financiamiento flexible que se adapte a las condiciones y evolución</w:t>
      </w:r>
      <w:r w:rsidR="00D355F4">
        <w:rPr>
          <w:rFonts w:ascii="Arial Narrow" w:hAnsi="Arial Narrow"/>
          <w:sz w:val="22"/>
          <w:szCs w:val="22"/>
        </w:rPr>
        <w:t xml:space="preserve"> de los mercados de deuda; 3</w:t>
      </w:r>
      <w:r w:rsidR="00D355F4" w:rsidRPr="00D355F4">
        <w:rPr>
          <w:rFonts w:ascii="Arial Narrow" w:hAnsi="Arial Narrow"/>
          <w:sz w:val="22"/>
          <w:szCs w:val="22"/>
        </w:rPr>
        <w:t>)</w:t>
      </w:r>
      <w:r w:rsidR="00D355F4">
        <w:rPr>
          <w:rFonts w:ascii="Arial Narrow" w:hAnsi="Arial Narrow"/>
          <w:sz w:val="22"/>
          <w:szCs w:val="22"/>
        </w:rPr>
        <w:t>.-</w:t>
      </w:r>
      <w:r w:rsidR="00D355F4" w:rsidRPr="00D355F4">
        <w:rPr>
          <w:rFonts w:ascii="Arial Narrow" w:hAnsi="Arial Narrow"/>
          <w:sz w:val="22"/>
          <w:szCs w:val="22"/>
        </w:rPr>
        <w:t xml:space="preserve"> apoyar la estrategia de consolidación fiscal</w:t>
      </w:r>
      <w:r w:rsidR="00D355F4">
        <w:rPr>
          <w:rFonts w:ascii="Arial Narrow" w:hAnsi="Arial Narrow"/>
          <w:sz w:val="22"/>
          <w:szCs w:val="22"/>
        </w:rPr>
        <w:t>.</w:t>
      </w:r>
      <w:r w:rsidR="00D355F4" w:rsidRPr="00D355F4">
        <w:rPr>
          <w:rFonts w:ascii="Arial Narrow" w:hAnsi="Arial Narrow"/>
          <w:sz w:val="22"/>
          <w:szCs w:val="22"/>
        </w:rPr>
        <w:t xml:space="preserve"> </w:t>
      </w:r>
    </w:p>
    <w:p w:rsidR="00B83815" w:rsidRDefault="00B83815" w:rsidP="00B83815">
      <w:pPr>
        <w:pStyle w:val="Sangradetextonormal"/>
        <w:ind w:firstLine="993"/>
        <w:rPr>
          <w:rFonts w:ascii="Arial Narrow" w:hAnsi="Arial Narrow"/>
          <w:sz w:val="25"/>
        </w:rPr>
      </w:pPr>
    </w:p>
    <w:p w:rsidR="00B83815" w:rsidRPr="00605C58" w:rsidRDefault="00B83815" w:rsidP="00B83815">
      <w:pPr>
        <w:pStyle w:val="Sangradetextonormal"/>
        <w:ind w:firstLine="0"/>
        <w:jc w:val="left"/>
        <w:rPr>
          <w:rFonts w:ascii="Arial Narrow" w:hAnsi="Arial Narrow"/>
          <w:b/>
          <w:bCs/>
          <w:szCs w:val="28"/>
        </w:rPr>
      </w:pPr>
      <w:r w:rsidRPr="00605C58">
        <w:rPr>
          <w:rFonts w:ascii="Arial Narrow" w:hAnsi="Arial Narrow"/>
          <w:b/>
          <w:bCs/>
          <w:szCs w:val="28"/>
        </w:rPr>
        <w:t>2.1.1.4.- Resultados obtenidos</w:t>
      </w:r>
    </w:p>
    <w:p w:rsidR="00B83815" w:rsidRDefault="00B83815" w:rsidP="00B83815">
      <w:pPr>
        <w:pStyle w:val="Sangradetextonormal"/>
        <w:spacing w:line="240" w:lineRule="auto"/>
        <w:ind w:firstLine="0"/>
        <w:jc w:val="left"/>
        <w:rPr>
          <w:rFonts w:ascii="Arial Narrow" w:hAnsi="Arial Narrow"/>
          <w:szCs w:val="28"/>
        </w:rPr>
      </w:pPr>
    </w:p>
    <w:p w:rsidR="00B83815" w:rsidRPr="00605C58" w:rsidRDefault="00B83815" w:rsidP="00B83815">
      <w:pPr>
        <w:pStyle w:val="Sangradetextonormal"/>
        <w:numPr>
          <w:ilvl w:val="0"/>
          <w:numId w:val="11"/>
        </w:numPr>
        <w:jc w:val="left"/>
        <w:rPr>
          <w:rFonts w:ascii="Arial Narrow" w:hAnsi="Arial Narrow"/>
          <w:b/>
          <w:bCs/>
          <w:szCs w:val="28"/>
        </w:rPr>
      </w:pPr>
      <w:r w:rsidRPr="00605C58">
        <w:rPr>
          <w:rFonts w:ascii="Arial Narrow" w:hAnsi="Arial Narrow"/>
          <w:b/>
          <w:bCs/>
          <w:szCs w:val="28"/>
        </w:rPr>
        <w:t>Balance del Sector Público Presupuestario</w:t>
      </w:r>
    </w:p>
    <w:p w:rsidR="00B83815" w:rsidRDefault="00B83815" w:rsidP="00F759B1">
      <w:pPr>
        <w:pStyle w:val="Sangradetextonormal"/>
        <w:spacing w:line="240" w:lineRule="auto"/>
        <w:ind w:firstLine="873"/>
        <w:rPr>
          <w:rFonts w:ascii="Arial Narrow" w:hAnsi="Arial Narrow"/>
          <w:sz w:val="25"/>
        </w:rPr>
      </w:pPr>
    </w:p>
    <w:p w:rsidR="00C507AB" w:rsidRPr="00992D26" w:rsidRDefault="00C507AB" w:rsidP="00F759B1">
      <w:pPr>
        <w:pStyle w:val="Sangradetextonormal"/>
        <w:spacing w:line="240" w:lineRule="auto"/>
        <w:ind w:firstLine="873"/>
        <w:rPr>
          <w:rFonts w:ascii="Arial Narrow" w:hAnsi="Arial Narrow"/>
          <w:sz w:val="25"/>
        </w:rPr>
      </w:pP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Como se comentó anteri</w:t>
      </w:r>
      <w:r w:rsidR="00806C17">
        <w:rPr>
          <w:rFonts w:ascii="Arial Narrow" w:hAnsi="Arial Narrow"/>
          <w:sz w:val="22"/>
          <w:szCs w:val="22"/>
        </w:rPr>
        <w:t>ormente, durante 2017</w:t>
      </w:r>
      <w:r w:rsidRPr="00605C58">
        <w:rPr>
          <w:rFonts w:ascii="Arial Narrow" w:hAnsi="Arial Narrow"/>
          <w:sz w:val="22"/>
          <w:szCs w:val="22"/>
        </w:rPr>
        <w:t xml:space="preserve"> el sector público presupuestario presentó un défi</w:t>
      </w:r>
      <w:r w:rsidR="00CC1E43">
        <w:rPr>
          <w:rFonts w:ascii="Arial Narrow" w:hAnsi="Arial Narrow"/>
          <w:sz w:val="22"/>
          <w:szCs w:val="22"/>
        </w:rPr>
        <w:t>cit</w:t>
      </w:r>
      <w:r w:rsidR="00806C17">
        <w:rPr>
          <w:rFonts w:ascii="Arial Narrow" w:hAnsi="Arial Narrow"/>
          <w:sz w:val="22"/>
          <w:szCs w:val="22"/>
        </w:rPr>
        <w:t xml:space="preserve"> por 238 mil 47</w:t>
      </w:r>
      <w:r w:rsidR="00CC1E43">
        <w:rPr>
          <w:rFonts w:ascii="Arial Narrow" w:hAnsi="Arial Narrow"/>
          <w:sz w:val="22"/>
          <w:szCs w:val="22"/>
        </w:rPr>
        <w:t>2</w:t>
      </w:r>
      <w:r w:rsidRPr="00605C58">
        <w:rPr>
          <w:rFonts w:ascii="Arial Narrow" w:hAnsi="Arial Narrow"/>
          <w:sz w:val="22"/>
          <w:szCs w:val="22"/>
        </w:rPr>
        <w:t xml:space="preserve"> millones de pesos</w:t>
      </w:r>
      <w:r>
        <w:rPr>
          <w:rFonts w:ascii="Arial Narrow" w:hAnsi="Arial Narrow"/>
          <w:sz w:val="22"/>
          <w:szCs w:val="22"/>
        </w:rPr>
        <w:t>, mismo que fue</w:t>
      </w:r>
      <w:r w:rsidRPr="00605C58">
        <w:rPr>
          <w:rFonts w:ascii="Arial Narrow" w:hAnsi="Arial Narrow"/>
          <w:sz w:val="22"/>
          <w:szCs w:val="22"/>
        </w:rPr>
        <w:t xml:space="preserve"> </w:t>
      </w:r>
      <w:r>
        <w:rPr>
          <w:rFonts w:ascii="Arial Narrow" w:hAnsi="Arial Narrow"/>
          <w:sz w:val="22"/>
          <w:szCs w:val="22"/>
        </w:rPr>
        <w:t xml:space="preserve">menor en </w:t>
      </w:r>
      <w:r w:rsidR="00806C17">
        <w:rPr>
          <w:rFonts w:ascii="Arial Narrow" w:hAnsi="Arial Narrow"/>
          <w:sz w:val="22"/>
          <w:szCs w:val="22"/>
        </w:rPr>
        <w:t>256</w:t>
      </w:r>
      <w:r w:rsidRPr="00605C58">
        <w:rPr>
          <w:rFonts w:ascii="Arial Narrow" w:hAnsi="Arial Narrow"/>
          <w:sz w:val="22"/>
          <w:szCs w:val="22"/>
        </w:rPr>
        <w:t xml:space="preserve"> mil </w:t>
      </w:r>
      <w:r w:rsidR="00806C17">
        <w:rPr>
          <w:rFonts w:ascii="Arial Narrow" w:hAnsi="Arial Narrow"/>
          <w:sz w:val="22"/>
          <w:szCs w:val="22"/>
        </w:rPr>
        <w:t>400</w:t>
      </w:r>
      <w:r w:rsidRPr="00605C58">
        <w:rPr>
          <w:rFonts w:ascii="Arial Narrow" w:hAnsi="Arial Narrow"/>
          <w:sz w:val="22"/>
          <w:szCs w:val="22"/>
        </w:rPr>
        <w:t xml:space="preserve"> millones de pesos al previsto originalmente para el año. </w:t>
      </w:r>
      <w:r>
        <w:rPr>
          <w:rFonts w:ascii="Arial Narrow" w:hAnsi="Arial Narrow"/>
          <w:sz w:val="22"/>
          <w:szCs w:val="22"/>
        </w:rPr>
        <w:t>Al</w:t>
      </w:r>
      <w:r w:rsidR="00CC1E43">
        <w:rPr>
          <w:rFonts w:ascii="Arial Narrow" w:hAnsi="Arial Narrow"/>
          <w:sz w:val="22"/>
          <w:szCs w:val="22"/>
        </w:rPr>
        <w:t xml:space="preserve"> excluir la inversión de alto impacto económico y social</w:t>
      </w:r>
      <w:r w:rsidRPr="00605C58">
        <w:rPr>
          <w:rFonts w:ascii="Arial Narrow" w:hAnsi="Arial Narrow"/>
          <w:sz w:val="22"/>
          <w:szCs w:val="22"/>
        </w:rPr>
        <w:t xml:space="preserve"> </w:t>
      </w:r>
      <w:r w:rsidR="00806C17">
        <w:rPr>
          <w:rFonts w:ascii="Arial Narrow" w:hAnsi="Arial Narrow"/>
          <w:sz w:val="22"/>
          <w:szCs w:val="22"/>
        </w:rPr>
        <w:t>resulta un superávit por 99 mil 875</w:t>
      </w:r>
      <w:r w:rsidRPr="00605C58">
        <w:rPr>
          <w:rFonts w:ascii="Arial Narrow" w:hAnsi="Arial Narrow"/>
          <w:sz w:val="22"/>
          <w:szCs w:val="22"/>
        </w:rPr>
        <w:t xml:space="preserve"> millones de p</w:t>
      </w:r>
      <w:r w:rsidR="00CC1E43">
        <w:rPr>
          <w:rFonts w:ascii="Arial Narrow" w:hAnsi="Arial Narrow"/>
          <w:sz w:val="22"/>
          <w:szCs w:val="22"/>
        </w:rPr>
        <w:t>esos que c</w:t>
      </w:r>
      <w:r w:rsidR="00806C17">
        <w:rPr>
          <w:rFonts w:ascii="Arial Narrow" w:hAnsi="Arial Narrow"/>
          <w:sz w:val="22"/>
          <w:szCs w:val="22"/>
        </w:rPr>
        <w:t>ontrasta con el programado de 12 mil 634</w:t>
      </w:r>
      <w:r>
        <w:rPr>
          <w:rFonts w:ascii="Arial Narrow" w:hAnsi="Arial Narrow"/>
          <w:sz w:val="22"/>
          <w:szCs w:val="22"/>
        </w:rPr>
        <w:t xml:space="preserve"> millones d</w:t>
      </w:r>
      <w:r w:rsidR="00CC1E43">
        <w:rPr>
          <w:rFonts w:ascii="Arial Narrow" w:hAnsi="Arial Narrow"/>
          <w:sz w:val="22"/>
          <w:szCs w:val="22"/>
        </w:rPr>
        <w:t>e pesos</w:t>
      </w:r>
      <w:r>
        <w:rPr>
          <w:rFonts w:ascii="Arial Narrow" w:hAnsi="Arial Narrow"/>
          <w:sz w:val="22"/>
          <w:szCs w:val="22"/>
        </w:rPr>
        <w:t>.</w:t>
      </w:r>
    </w:p>
    <w:p w:rsidR="00B83815" w:rsidRPr="00605C58" w:rsidRDefault="00B83815" w:rsidP="00B83815">
      <w:pPr>
        <w:pStyle w:val="Sangradetextonormal"/>
        <w:spacing w:line="240" w:lineRule="auto"/>
        <w:ind w:firstLine="0"/>
        <w:jc w:val="left"/>
        <w:rPr>
          <w:rFonts w:ascii="Arial Narrow" w:hAnsi="Arial Narrow"/>
          <w:sz w:val="22"/>
          <w:szCs w:val="22"/>
        </w:rPr>
      </w:pPr>
    </w:p>
    <w:p w:rsidR="00B83815"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Con base en cifras preliminares reportadas por la Secretaría de Hacienda y Crédito Público correspondie</w:t>
      </w:r>
      <w:r w:rsidR="00806C17">
        <w:rPr>
          <w:rFonts w:ascii="Arial Narrow" w:hAnsi="Arial Narrow"/>
          <w:sz w:val="22"/>
          <w:szCs w:val="22"/>
        </w:rPr>
        <w:t>ntes al cuarto trimestre de 2017</w:t>
      </w:r>
      <w:r w:rsidRPr="00605C58">
        <w:rPr>
          <w:rFonts w:ascii="Arial Narrow" w:hAnsi="Arial Narrow"/>
          <w:sz w:val="22"/>
          <w:szCs w:val="22"/>
        </w:rPr>
        <w:t>, el Balance Público presentó el siguiente comportamiento:</w:t>
      </w:r>
    </w:p>
    <w:p w:rsidR="00806C17" w:rsidRPr="00605C58" w:rsidRDefault="00806C17" w:rsidP="00B83815">
      <w:pPr>
        <w:pStyle w:val="Sangradetextonormal"/>
        <w:ind w:firstLine="876"/>
        <w:rPr>
          <w:rFonts w:ascii="Arial Narrow" w:hAnsi="Arial Narrow"/>
          <w:sz w:val="22"/>
          <w:szCs w:val="22"/>
        </w:rPr>
      </w:pPr>
    </w:p>
    <w:p w:rsidR="00B83815" w:rsidRPr="00605C58" w:rsidRDefault="00B83815" w:rsidP="00C507AB">
      <w:pPr>
        <w:pStyle w:val="Sangradetextonormal"/>
        <w:spacing w:line="240" w:lineRule="auto"/>
        <w:ind w:firstLine="873"/>
        <w:rPr>
          <w:rFonts w:ascii="Arial Narrow" w:hAnsi="Arial Narrow"/>
          <w:sz w:val="22"/>
          <w:szCs w:val="22"/>
          <w:u w:val="single"/>
        </w:rPr>
      </w:pPr>
      <w:r w:rsidRPr="00605C58">
        <w:rPr>
          <w:rFonts w:ascii="Arial Narrow" w:hAnsi="Arial Narrow"/>
          <w:sz w:val="22"/>
          <w:szCs w:val="22"/>
        </w:rPr>
        <w:lastRenderedPageBreak/>
        <w:t xml:space="preserve"> </w:t>
      </w:r>
      <w:r w:rsidRPr="00605C58">
        <w:rPr>
          <w:rFonts w:ascii="Arial Narrow" w:hAnsi="Arial Narrow"/>
          <w:sz w:val="22"/>
          <w:szCs w:val="22"/>
          <w:u w:val="single"/>
        </w:rPr>
        <w:t>Balance Público con Inversió</w:t>
      </w:r>
      <w:r w:rsidR="00CC1E43">
        <w:rPr>
          <w:rFonts w:ascii="Arial Narrow" w:hAnsi="Arial Narrow"/>
          <w:sz w:val="22"/>
          <w:szCs w:val="22"/>
          <w:u w:val="single"/>
        </w:rPr>
        <w:t>n de Alto Impacto Económico y Social</w:t>
      </w:r>
    </w:p>
    <w:p w:rsidR="00B83815" w:rsidRPr="00605C58" w:rsidRDefault="00806C17" w:rsidP="00B83815">
      <w:pPr>
        <w:pStyle w:val="Sangradetextonormal"/>
        <w:ind w:firstLine="876"/>
        <w:rPr>
          <w:rFonts w:ascii="Arial Narrow" w:hAnsi="Arial Narrow"/>
          <w:sz w:val="22"/>
          <w:szCs w:val="22"/>
        </w:rPr>
      </w:pPr>
      <w:r>
        <w:rPr>
          <w:rFonts w:ascii="Arial Narrow" w:hAnsi="Arial Narrow"/>
          <w:sz w:val="22"/>
          <w:szCs w:val="22"/>
        </w:rPr>
        <w:tab/>
      </w:r>
      <w:r>
        <w:rPr>
          <w:rFonts w:ascii="Arial Narrow" w:hAnsi="Arial Narrow"/>
          <w:sz w:val="22"/>
          <w:szCs w:val="22"/>
        </w:rPr>
        <w:tab/>
        <w:t>Importe previsto</w:t>
      </w:r>
      <w:r>
        <w:rPr>
          <w:rFonts w:ascii="Arial Narrow" w:hAnsi="Arial Narrow"/>
          <w:sz w:val="22"/>
          <w:szCs w:val="22"/>
        </w:rPr>
        <w:tab/>
      </w:r>
      <w:r>
        <w:rPr>
          <w:rFonts w:ascii="Arial Narrow" w:hAnsi="Arial Narrow"/>
          <w:sz w:val="22"/>
          <w:szCs w:val="22"/>
        </w:rPr>
        <w:tab/>
      </w:r>
      <w:r>
        <w:rPr>
          <w:rFonts w:ascii="Arial Narrow" w:hAnsi="Arial Narrow"/>
          <w:sz w:val="22"/>
          <w:szCs w:val="22"/>
        </w:rPr>
        <w:tab/>
        <w:t>494,872</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Déficit generado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00806C17">
        <w:rPr>
          <w:rFonts w:ascii="Arial Narrow" w:hAnsi="Arial Narrow"/>
          <w:sz w:val="22"/>
          <w:szCs w:val="22"/>
          <w:u w:val="single"/>
        </w:rPr>
        <w:t>238,472</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00806C17">
        <w:rPr>
          <w:rFonts w:ascii="Arial Narrow" w:hAnsi="Arial Narrow"/>
          <w:sz w:val="22"/>
          <w:szCs w:val="22"/>
          <w:u w:val="double"/>
        </w:rPr>
        <w:t>256,400</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p>
    <w:p w:rsidR="00B83815" w:rsidRPr="00605C58" w:rsidRDefault="00B83815" w:rsidP="00B83815">
      <w:pPr>
        <w:pStyle w:val="Sangradetextonormal"/>
        <w:ind w:firstLine="876"/>
        <w:rPr>
          <w:rFonts w:ascii="Arial Narrow" w:hAnsi="Arial Narrow"/>
          <w:sz w:val="22"/>
          <w:szCs w:val="22"/>
          <w:u w:val="single"/>
        </w:rPr>
      </w:pPr>
      <w:r w:rsidRPr="00605C58">
        <w:rPr>
          <w:rFonts w:ascii="Arial Narrow" w:hAnsi="Arial Narrow"/>
          <w:sz w:val="22"/>
          <w:szCs w:val="22"/>
          <w:u w:val="single"/>
        </w:rPr>
        <w:t>Balance Público sin</w:t>
      </w:r>
      <w:r w:rsidR="00CC1E43">
        <w:rPr>
          <w:rFonts w:ascii="Arial Narrow" w:hAnsi="Arial Narrow"/>
          <w:sz w:val="22"/>
          <w:szCs w:val="22"/>
          <w:u w:val="single"/>
        </w:rPr>
        <w:t xml:space="preserve"> Inversión de Alto Impacto Económico y Social</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Importe previsto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00806C17">
        <w:rPr>
          <w:rFonts w:ascii="Arial Narrow" w:hAnsi="Arial Narrow"/>
          <w:sz w:val="22"/>
          <w:szCs w:val="22"/>
        </w:rPr>
        <w:t xml:space="preserve">  12,635</w:t>
      </w:r>
    </w:p>
    <w:p w:rsidR="00B83815" w:rsidRPr="00605C58" w:rsidRDefault="00806C17" w:rsidP="00B83815">
      <w:pPr>
        <w:pStyle w:val="Sangradetextonormal"/>
        <w:ind w:firstLine="876"/>
        <w:rPr>
          <w:rFonts w:ascii="Arial Narrow" w:hAnsi="Arial Narrow"/>
          <w:sz w:val="22"/>
          <w:szCs w:val="22"/>
        </w:rPr>
      </w:pPr>
      <w:r>
        <w:rPr>
          <w:rFonts w:ascii="Arial Narrow" w:hAnsi="Arial Narrow"/>
          <w:sz w:val="22"/>
          <w:szCs w:val="22"/>
        </w:rPr>
        <w:tab/>
      </w:r>
      <w:r>
        <w:rPr>
          <w:rFonts w:ascii="Arial Narrow" w:hAnsi="Arial Narrow"/>
          <w:sz w:val="22"/>
          <w:szCs w:val="22"/>
        </w:rPr>
        <w:tab/>
        <w:t>Superávit generado</w:t>
      </w:r>
      <w:r>
        <w:rPr>
          <w:rFonts w:ascii="Arial Narrow" w:hAnsi="Arial Narrow"/>
          <w:sz w:val="22"/>
          <w:szCs w:val="22"/>
        </w:rPr>
        <w:tab/>
      </w:r>
      <w:r w:rsidR="00B83815" w:rsidRPr="00605C58">
        <w:rPr>
          <w:rFonts w:ascii="Arial Narrow" w:hAnsi="Arial Narrow"/>
          <w:sz w:val="22"/>
          <w:szCs w:val="22"/>
        </w:rPr>
        <w:tab/>
      </w:r>
      <w:r w:rsidR="00CC1E43">
        <w:rPr>
          <w:rFonts w:ascii="Arial Narrow" w:hAnsi="Arial Narrow"/>
          <w:sz w:val="22"/>
          <w:szCs w:val="22"/>
        </w:rPr>
        <w:t xml:space="preserve">  </w:t>
      </w:r>
      <w:r>
        <w:rPr>
          <w:rFonts w:ascii="Arial Narrow" w:hAnsi="Arial Narrow"/>
          <w:sz w:val="22"/>
          <w:szCs w:val="22"/>
          <w:u w:val="single"/>
        </w:rPr>
        <w:t>99,875</w:t>
      </w:r>
    </w:p>
    <w:p w:rsidR="00B83815" w:rsidRDefault="00B83815" w:rsidP="00B83815">
      <w:pPr>
        <w:pStyle w:val="Sangradetextonormal"/>
        <w:ind w:firstLine="876"/>
        <w:rPr>
          <w:rFonts w:ascii="Arial Narrow" w:hAnsi="Arial Narrow"/>
          <w:sz w:val="25"/>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u w:val="double"/>
        </w:rPr>
        <w:t xml:space="preserve"> </w:t>
      </w:r>
      <w:r w:rsidR="00CC1E43">
        <w:rPr>
          <w:rFonts w:ascii="Arial Narrow" w:hAnsi="Arial Narrow"/>
          <w:sz w:val="22"/>
          <w:szCs w:val="22"/>
          <w:u w:val="double"/>
        </w:rPr>
        <w:t xml:space="preserve"> </w:t>
      </w:r>
      <w:r w:rsidR="00806C17">
        <w:rPr>
          <w:rFonts w:ascii="Arial Narrow" w:hAnsi="Arial Narrow"/>
          <w:sz w:val="22"/>
          <w:szCs w:val="22"/>
          <w:u w:val="double"/>
        </w:rPr>
        <w:t>87,240</w:t>
      </w:r>
      <w:r w:rsidRPr="00992D26">
        <w:rPr>
          <w:rFonts w:ascii="Arial Narrow" w:hAnsi="Arial Narrow"/>
          <w:sz w:val="25"/>
        </w:rPr>
        <w:tab/>
      </w:r>
    </w:p>
    <w:p w:rsidR="00B83815" w:rsidRPr="00992D26" w:rsidRDefault="00B83815" w:rsidP="00B83815">
      <w:pPr>
        <w:pStyle w:val="Sangradetextonormal"/>
        <w:ind w:firstLine="876"/>
        <w:rPr>
          <w:rFonts w:ascii="Arial Narrow" w:hAnsi="Arial Narrow"/>
          <w:sz w:val="25"/>
        </w:rPr>
      </w:pPr>
    </w:p>
    <w:p w:rsidR="00B83815" w:rsidRPr="00B818D5" w:rsidRDefault="00B83815" w:rsidP="00B83815">
      <w:pPr>
        <w:pStyle w:val="Sangradetextonormal"/>
        <w:numPr>
          <w:ilvl w:val="0"/>
          <w:numId w:val="11"/>
        </w:numPr>
        <w:spacing w:line="240" w:lineRule="auto"/>
        <w:jc w:val="left"/>
        <w:rPr>
          <w:rFonts w:ascii="Arial Narrow" w:hAnsi="Arial Narrow"/>
          <w:b/>
          <w:bCs/>
          <w:szCs w:val="28"/>
        </w:rPr>
      </w:pPr>
      <w:r w:rsidRPr="00B818D5">
        <w:rPr>
          <w:rFonts w:ascii="Arial Narrow" w:hAnsi="Arial Narrow"/>
          <w:b/>
          <w:bCs/>
          <w:szCs w:val="28"/>
        </w:rPr>
        <w:t>Balance Primario del Sector Público Presupuestario</w:t>
      </w:r>
    </w:p>
    <w:p w:rsidR="00B83815" w:rsidRDefault="00B83815" w:rsidP="00B83815">
      <w:pPr>
        <w:pStyle w:val="Sangradetextonormal"/>
        <w:ind w:firstLine="876"/>
        <w:rPr>
          <w:rFonts w:ascii="Arial Narrow" w:hAnsi="Arial Narrow"/>
          <w:b/>
          <w:sz w:val="25"/>
        </w:rPr>
      </w:pPr>
    </w:p>
    <w:p w:rsidR="00B83815" w:rsidRPr="00B818D5" w:rsidRDefault="00B83815" w:rsidP="00B83815">
      <w:pPr>
        <w:pStyle w:val="Sangradetextonormal"/>
        <w:ind w:firstLine="876"/>
        <w:rPr>
          <w:rFonts w:ascii="Arial Narrow" w:hAnsi="Arial Narrow"/>
          <w:sz w:val="22"/>
          <w:szCs w:val="22"/>
        </w:rPr>
      </w:pPr>
      <w:r w:rsidRPr="00B818D5">
        <w:rPr>
          <w:rFonts w:ascii="Arial Narrow" w:hAnsi="Arial Narrow"/>
          <w:sz w:val="22"/>
          <w:szCs w:val="22"/>
        </w:rPr>
        <w:t xml:space="preserve">El balance primario del sector público, definido como la diferencia entre los ingresos totales y los gastos distintos </w:t>
      </w:r>
      <w:r>
        <w:rPr>
          <w:rFonts w:ascii="Arial Narrow" w:hAnsi="Arial Narrow"/>
          <w:sz w:val="22"/>
          <w:szCs w:val="22"/>
        </w:rPr>
        <w:t xml:space="preserve">del costo financiero, </w:t>
      </w:r>
      <w:r w:rsidR="007C4E9A">
        <w:rPr>
          <w:rFonts w:ascii="Arial Narrow" w:hAnsi="Arial Narrow"/>
          <w:sz w:val="22"/>
          <w:szCs w:val="22"/>
        </w:rPr>
        <w:t>mostró un superávit</w:t>
      </w:r>
      <w:r w:rsidRPr="00B818D5">
        <w:rPr>
          <w:rFonts w:ascii="Arial Narrow" w:hAnsi="Arial Narrow"/>
          <w:sz w:val="22"/>
          <w:szCs w:val="22"/>
        </w:rPr>
        <w:t xml:space="preserve"> de</w:t>
      </w:r>
      <w:r w:rsidR="007C4E9A">
        <w:rPr>
          <w:rFonts w:ascii="Arial Narrow" w:hAnsi="Arial Narrow"/>
          <w:sz w:val="22"/>
          <w:szCs w:val="22"/>
        </w:rPr>
        <w:t xml:space="preserve"> 310 mil 151</w:t>
      </w:r>
      <w:r w:rsidRPr="00B818D5">
        <w:rPr>
          <w:rFonts w:ascii="Arial Narrow" w:hAnsi="Arial Narrow"/>
          <w:sz w:val="22"/>
          <w:szCs w:val="22"/>
        </w:rPr>
        <w:t xml:space="preserve"> millones de pesos, resultando</w:t>
      </w:r>
      <w:r w:rsidR="007C4E9A">
        <w:rPr>
          <w:rFonts w:ascii="Arial Narrow" w:hAnsi="Arial Narrow"/>
          <w:sz w:val="22"/>
          <w:szCs w:val="22"/>
        </w:rPr>
        <w:t xml:space="preserve"> mayo</w:t>
      </w:r>
      <w:r>
        <w:rPr>
          <w:rFonts w:ascii="Arial Narrow" w:hAnsi="Arial Narrow"/>
          <w:sz w:val="22"/>
          <w:szCs w:val="22"/>
        </w:rPr>
        <w:t>r en</w:t>
      </w:r>
      <w:r w:rsidRPr="00B818D5">
        <w:rPr>
          <w:rFonts w:ascii="Arial Narrow" w:hAnsi="Arial Narrow"/>
          <w:sz w:val="22"/>
          <w:szCs w:val="22"/>
        </w:rPr>
        <w:t xml:space="preserve"> </w:t>
      </w:r>
      <w:r w:rsidR="00C507AB">
        <w:rPr>
          <w:rFonts w:ascii="Arial Narrow" w:hAnsi="Arial Narrow"/>
          <w:sz w:val="22"/>
          <w:szCs w:val="22"/>
        </w:rPr>
        <w:t xml:space="preserve">231 mil </w:t>
      </w:r>
      <w:r w:rsidR="007C4E9A">
        <w:rPr>
          <w:rFonts w:ascii="Arial Narrow" w:hAnsi="Arial Narrow"/>
          <w:sz w:val="22"/>
          <w:szCs w:val="22"/>
        </w:rPr>
        <w:t>96</w:t>
      </w:r>
      <w:r w:rsidR="00CC1E43">
        <w:rPr>
          <w:rFonts w:ascii="Arial Narrow" w:hAnsi="Arial Narrow"/>
          <w:sz w:val="22"/>
          <w:szCs w:val="22"/>
        </w:rPr>
        <w:t>0</w:t>
      </w:r>
      <w:r>
        <w:rPr>
          <w:rFonts w:ascii="Arial Narrow" w:hAnsi="Arial Narrow"/>
          <w:sz w:val="22"/>
          <w:szCs w:val="22"/>
        </w:rPr>
        <w:t xml:space="preserve"> millones de pesos </w:t>
      </w:r>
      <w:r w:rsidRPr="00B818D5">
        <w:rPr>
          <w:rFonts w:ascii="Arial Narrow" w:hAnsi="Arial Narrow"/>
          <w:sz w:val="22"/>
          <w:szCs w:val="22"/>
        </w:rPr>
        <w:t>al previsto</w:t>
      </w:r>
      <w:r w:rsidR="00CC1E43">
        <w:rPr>
          <w:rFonts w:ascii="Arial Narrow" w:hAnsi="Arial Narrow"/>
          <w:sz w:val="22"/>
          <w:szCs w:val="22"/>
        </w:rPr>
        <w:t xml:space="preserve"> </w:t>
      </w:r>
      <w:r w:rsidR="00CC1E43" w:rsidRPr="00B818D5">
        <w:rPr>
          <w:rFonts w:ascii="Arial Narrow" w:hAnsi="Arial Narrow"/>
          <w:sz w:val="22"/>
          <w:szCs w:val="22"/>
        </w:rPr>
        <w:t xml:space="preserve">para </w:t>
      </w:r>
      <w:r w:rsidR="007C4E9A">
        <w:rPr>
          <w:rFonts w:ascii="Arial Narrow" w:hAnsi="Arial Narrow"/>
          <w:sz w:val="22"/>
          <w:szCs w:val="22"/>
        </w:rPr>
        <w:t>2017 de 78 mil 191</w:t>
      </w:r>
      <w:r w:rsidR="00CC1E43">
        <w:rPr>
          <w:rFonts w:ascii="Arial Narrow" w:hAnsi="Arial Narrow"/>
          <w:sz w:val="22"/>
          <w:szCs w:val="22"/>
        </w:rPr>
        <w:t xml:space="preserve"> millones de pesos</w:t>
      </w:r>
      <w:r w:rsidRPr="00B818D5">
        <w:rPr>
          <w:rFonts w:ascii="Arial Narrow" w:hAnsi="Arial Narrow"/>
          <w:sz w:val="22"/>
          <w:szCs w:val="22"/>
        </w:rPr>
        <w:t>.</w:t>
      </w:r>
    </w:p>
    <w:p w:rsidR="00B83815" w:rsidRDefault="00B83815" w:rsidP="00B83815">
      <w:pPr>
        <w:pStyle w:val="Sangradetextonormal"/>
        <w:ind w:firstLine="0"/>
        <w:jc w:val="left"/>
        <w:rPr>
          <w:rFonts w:ascii="Arial Narrow" w:hAnsi="Arial Narrow"/>
          <w:b/>
          <w:bCs/>
          <w:szCs w:val="28"/>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t>2.1.2.- Ámbito Estatal</w:t>
      </w:r>
    </w:p>
    <w:p w:rsidR="00F759B1" w:rsidRDefault="00F759B1" w:rsidP="00D95FAE">
      <w:pPr>
        <w:pStyle w:val="Sangradetextonormal"/>
        <w:spacing w:line="240" w:lineRule="auto"/>
        <w:ind w:firstLine="0"/>
        <w:jc w:val="left"/>
        <w:rPr>
          <w:rFonts w:ascii="Arial Narrow" w:hAnsi="Arial Narrow"/>
          <w:b/>
          <w:bCs/>
          <w:szCs w:val="28"/>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t>2.1.2.1- Política Económica</w:t>
      </w:r>
    </w:p>
    <w:p w:rsidR="00B83815" w:rsidRDefault="00B83815" w:rsidP="00B83815">
      <w:pPr>
        <w:pStyle w:val="Sangradetextonormal"/>
        <w:spacing w:line="240" w:lineRule="auto"/>
        <w:ind w:firstLine="873"/>
        <w:rPr>
          <w:rFonts w:ascii="Arial Narrow" w:hAnsi="Arial Narrow"/>
          <w:b/>
          <w:bCs/>
          <w:sz w:val="32"/>
          <w:szCs w:val="32"/>
        </w:rPr>
      </w:pPr>
      <w:r w:rsidRPr="00992D26">
        <w:rPr>
          <w:rFonts w:ascii="Arial Narrow" w:hAnsi="Arial Narrow"/>
          <w:b/>
          <w:bCs/>
          <w:sz w:val="32"/>
          <w:szCs w:val="32"/>
        </w:rPr>
        <w:tab/>
      </w:r>
    </w:p>
    <w:p w:rsidR="00B83815" w:rsidRPr="000616EB" w:rsidRDefault="00B83815" w:rsidP="00B83815">
      <w:pPr>
        <w:pStyle w:val="Sangradetextonormal"/>
        <w:ind w:firstLine="876"/>
        <w:rPr>
          <w:rFonts w:ascii="Arial Narrow" w:hAnsi="Arial Narrow"/>
          <w:sz w:val="22"/>
          <w:szCs w:val="22"/>
        </w:rPr>
      </w:pPr>
      <w:r w:rsidRPr="000616EB">
        <w:rPr>
          <w:rFonts w:ascii="Arial Narrow" w:hAnsi="Arial Narrow"/>
          <w:sz w:val="22"/>
          <w:szCs w:val="22"/>
        </w:rPr>
        <w:t>El Plan Estatal de Desarro</w:t>
      </w:r>
      <w:r w:rsidR="006B18BE">
        <w:rPr>
          <w:rFonts w:ascii="Arial Narrow" w:hAnsi="Arial Narrow"/>
          <w:sz w:val="22"/>
          <w:szCs w:val="22"/>
        </w:rPr>
        <w:t>llo de Nayarit 2011 – 2017 estableció</w:t>
      </w:r>
      <w:r w:rsidRPr="000616EB">
        <w:rPr>
          <w:rFonts w:ascii="Arial Narrow" w:hAnsi="Arial Narrow"/>
          <w:sz w:val="22"/>
          <w:szCs w:val="22"/>
        </w:rPr>
        <w:t xml:space="preserve"> como visión lograr un Estado con altos índices de desarrollo en todas sus regiones, basado en un nuevo modelo, promotor del empleo, aprovechando de manera sustentable los recursos naturales, creando la infraestructura pública y apoyando la investigación científica, tecnológica e innovación que incremente la productividad, detone nuevas opciones que fortalezcan a los diversos sectores económicos y que se traduzca en un crecimiento integral generador de bienestar social, incluyente y equitativo.</w:t>
      </w:r>
    </w:p>
    <w:p w:rsidR="00B83815" w:rsidRPr="000616EB" w:rsidRDefault="00B83815" w:rsidP="00B83815">
      <w:pPr>
        <w:pStyle w:val="Sangradetextonormal"/>
        <w:spacing w:line="480" w:lineRule="auto"/>
        <w:ind w:firstLine="876"/>
        <w:rPr>
          <w:rFonts w:ascii="Arial Narrow" w:hAnsi="Arial Narrow"/>
          <w:sz w:val="22"/>
          <w:szCs w:val="22"/>
        </w:rPr>
      </w:pPr>
    </w:p>
    <w:p w:rsidR="00D95FAE" w:rsidRDefault="00B83815" w:rsidP="006B18BE">
      <w:pPr>
        <w:pStyle w:val="Sangradetextonormal"/>
        <w:ind w:firstLine="876"/>
        <w:rPr>
          <w:rFonts w:ascii="Arial Narrow" w:hAnsi="Arial Narrow"/>
          <w:sz w:val="22"/>
          <w:szCs w:val="22"/>
        </w:rPr>
      </w:pPr>
      <w:r w:rsidRPr="000616EB">
        <w:rPr>
          <w:rFonts w:ascii="Arial Narrow" w:hAnsi="Arial Narrow"/>
          <w:sz w:val="22"/>
          <w:szCs w:val="22"/>
        </w:rPr>
        <w:t xml:space="preserve">En correspondencia con lo expresado en el párrafo anterior, la Política para el Desarrollo Económico que se plantea en el Plan mencionado, está orientada a la operación de programas de creación regulada de </w:t>
      </w:r>
      <w:r w:rsidRPr="000616EB">
        <w:rPr>
          <w:rFonts w:ascii="Arial Narrow" w:hAnsi="Arial Narrow"/>
          <w:sz w:val="22"/>
          <w:szCs w:val="22"/>
        </w:rPr>
        <w:lastRenderedPageBreak/>
        <w:t>infraestructura y servicios públicos para el desarrollo agropecuario, pesquero, acuícola, silvícola, minero, industrial, manufacturero, turístico, comercial y de servicios, así como acciones de fomento a la inversión pública y privada.</w:t>
      </w:r>
      <w:r w:rsidR="006B18BE">
        <w:rPr>
          <w:rFonts w:ascii="Arial Narrow" w:hAnsi="Arial Narrow"/>
          <w:sz w:val="22"/>
          <w:szCs w:val="22"/>
        </w:rPr>
        <w:t xml:space="preserve"> </w:t>
      </w:r>
    </w:p>
    <w:p w:rsidR="00D95FAE" w:rsidRDefault="00D95FAE" w:rsidP="006B18BE">
      <w:pPr>
        <w:pStyle w:val="Sangradetextonormal"/>
        <w:ind w:firstLine="876"/>
        <w:rPr>
          <w:rFonts w:ascii="Arial Narrow" w:hAnsi="Arial Narrow"/>
          <w:sz w:val="22"/>
          <w:szCs w:val="22"/>
        </w:rPr>
      </w:pPr>
    </w:p>
    <w:p w:rsidR="00B83815" w:rsidRPr="000616EB" w:rsidRDefault="00B83815" w:rsidP="006B18BE">
      <w:pPr>
        <w:pStyle w:val="Sangradetextonormal"/>
        <w:ind w:firstLine="876"/>
        <w:rPr>
          <w:rFonts w:ascii="Arial Narrow" w:hAnsi="Arial Narrow"/>
          <w:sz w:val="22"/>
          <w:szCs w:val="22"/>
        </w:rPr>
      </w:pPr>
      <w:r w:rsidRPr="000616EB">
        <w:rPr>
          <w:rFonts w:ascii="Arial Narrow" w:hAnsi="Arial Narrow"/>
          <w:sz w:val="22"/>
          <w:szCs w:val="22"/>
        </w:rPr>
        <w:t xml:space="preserve">Al respecto, los principales objetivos, estrategias y metas de la Política </w:t>
      </w:r>
      <w:r w:rsidR="00E17B10">
        <w:rPr>
          <w:rFonts w:ascii="Arial Narrow" w:hAnsi="Arial Narrow"/>
          <w:sz w:val="22"/>
          <w:szCs w:val="22"/>
        </w:rPr>
        <w:t xml:space="preserve">Económica fijados por la </w:t>
      </w:r>
      <w:r w:rsidRPr="000616EB">
        <w:rPr>
          <w:rFonts w:ascii="Arial Narrow" w:hAnsi="Arial Narrow"/>
          <w:sz w:val="22"/>
          <w:szCs w:val="22"/>
        </w:rPr>
        <w:t>administración</w:t>
      </w:r>
      <w:r w:rsidR="00E17B10">
        <w:rPr>
          <w:rFonts w:ascii="Arial Narrow" w:hAnsi="Arial Narrow"/>
          <w:sz w:val="22"/>
          <w:szCs w:val="22"/>
        </w:rPr>
        <w:t xml:space="preserve"> estatal</w:t>
      </w:r>
      <w:r w:rsidRPr="000616EB">
        <w:rPr>
          <w:rFonts w:ascii="Arial Narrow" w:hAnsi="Arial Narrow"/>
          <w:sz w:val="22"/>
          <w:szCs w:val="22"/>
        </w:rPr>
        <w:t xml:space="preserve">, se presentan en el siguiente esquema: </w:t>
      </w:r>
    </w:p>
    <w:p w:rsidR="00B83815" w:rsidRDefault="00B83815" w:rsidP="00B83815">
      <w:pPr>
        <w:pStyle w:val="Texto"/>
        <w:ind w:firstLine="0"/>
        <w:jc w:val="center"/>
        <w:outlineLvl w:val="0"/>
        <w:rPr>
          <w:rFonts w:ascii="Arial Narrow" w:hAnsi="Arial Narrow"/>
          <w:b/>
          <w:sz w:val="20"/>
          <w:szCs w:val="20"/>
        </w:rPr>
      </w:pPr>
    </w:p>
    <w:p w:rsidR="00B83815" w:rsidRPr="00992D26" w:rsidRDefault="00B83815" w:rsidP="00B83815">
      <w:pPr>
        <w:pStyle w:val="Texto"/>
        <w:ind w:firstLine="0"/>
        <w:jc w:val="center"/>
        <w:outlineLvl w:val="0"/>
        <w:rPr>
          <w:rFonts w:ascii="Arial Narrow" w:hAnsi="Arial Narrow"/>
          <w:b/>
          <w:sz w:val="20"/>
          <w:szCs w:val="20"/>
        </w:rPr>
      </w:pPr>
      <w:r w:rsidRPr="00992D26">
        <w:rPr>
          <w:rFonts w:ascii="Arial Narrow" w:hAnsi="Arial Narrow"/>
          <w:b/>
          <w:sz w:val="20"/>
          <w:szCs w:val="20"/>
        </w:rPr>
        <w:t xml:space="preserve">POLÍTICA ECONÓMICA </w:t>
      </w:r>
    </w:p>
    <w:p w:rsidR="00B83815" w:rsidRPr="00992D26" w:rsidRDefault="00B83815" w:rsidP="00B83815">
      <w:pPr>
        <w:pStyle w:val="Texto"/>
        <w:ind w:firstLine="0"/>
        <w:jc w:val="center"/>
        <w:outlineLvl w:val="0"/>
        <w:rPr>
          <w:rFonts w:ascii="Arial Narrow" w:hAnsi="Arial Narrow"/>
          <w:b/>
        </w:rPr>
      </w:pPr>
    </w:p>
    <w:tbl>
      <w:tblPr>
        <w:tblW w:w="8712" w:type="dxa"/>
        <w:jc w:val="center"/>
        <w:tblInd w:w="144" w:type="dxa"/>
        <w:tblBorders>
          <w:top w:val="single" w:sz="12" w:space="0" w:color="auto"/>
          <w:bottom w:val="single" w:sz="12"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jc w:val="center"/>
        </w:trPr>
        <w:tc>
          <w:tcPr>
            <w:tcW w:w="9639" w:type="dxa"/>
            <w:noWrap/>
          </w:tcPr>
          <w:p w:rsidR="00B83815" w:rsidRPr="00992D26" w:rsidRDefault="00B83815" w:rsidP="00934835">
            <w:pPr>
              <w:pStyle w:val="Texto"/>
              <w:ind w:firstLine="0"/>
              <w:rPr>
                <w:rFonts w:ascii="Arial Narrow" w:hAnsi="Arial Narrow"/>
                <w:b/>
              </w:rPr>
            </w:pPr>
            <w:r w:rsidRPr="00992D26">
              <w:rPr>
                <w:rFonts w:ascii="Arial Narrow" w:hAnsi="Arial Narrow"/>
                <w:b/>
              </w:rPr>
              <w:t>OBJETIVOS</w:t>
            </w:r>
          </w:p>
          <w:p w:rsidR="00B83815" w:rsidRPr="00992D26"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t>Detonar el Crecimiento Económico del Estado.</w:t>
            </w:r>
          </w:p>
          <w:p w:rsidR="00B83815" w:rsidRPr="00992D26"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t>Sentar las bases para la generación de empleos permanentes y de calidad.</w:t>
            </w:r>
          </w:p>
          <w:p w:rsidR="00B83815" w:rsidRPr="00992D26"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t>Elevar el nivel de vida de las y los Nayaritas.</w:t>
            </w:r>
          </w:p>
        </w:tc>
      </w:tr>
      <w:tr w:rsidR="00B83815" w:rsidRPr="00992D26" w:rsidTr="00934835">
        <w:trPr>
          <w:cantSplit/>
          <w:jc w:val="center"/>
        </w:trPr>
        <w:tc>
          <w:tcPr>
            <w:tcW w:w="9639" w:type="dxa"/>
          </w:tcPr>
          <w:p w:rsidR="00B83815" w:rsidRPr="00992D26" w:rsidRDefault="00B83815" w:rsidP="00934835">
            <w:pPr>
              <w:pStyle w:val="Texto"/>
              <w:ind w:firstLine="0"/>
              <w:rPr>
                <w:rFonts w:ascii="Arial Narrow" w:hAnsi="Arial Narrow"/>
              </w:rPr>
            </w:pPr>
            <w:r w:rsidRPr="00992D26">
              <w:rPr>
                <w:rFonts w:ascii="Arial Narrow" w:hAnsi="Arial Narrow"/>
                <w:b/>
              </w:rPr>
              <w:t>ESTRATEGIAS</w:t>
            </w:r>
          </w:p>
          <w:p w:rsidR="00B83815" w:rsidRPr="00992D26"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t>Implementar un programa estratégico de desarrollo industrial del Estado de Nayarit.</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Generar proyectos de gran impacto para el desarrollo estatal aprovechando la infraestructura disponible y el capital humano.</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Vincular el sector productivo con la comunidad científica.</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Impulsar la integración del comercio, el abasto y el mercado interno.</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Fortalecer actividades de integración de nuevas empresas al mercado.</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r>
            <w:proofErr w:type="spellStart"/>
            <w:r w:rsidRPr="00992D26">
              <w:rPr>
                <w:rFonts w:ascii="Arial Narrow" w:hAnsi="Arial Narrow"/>
              </w:rPr>
              <w:t>Eficientar</w:t>
            </w:r>
            <w:proofErr w:type="spellEnd"/>
            <w:r w:rsidRPr="00992D26">
              <w:rPr>
                <w:rFonts w:ascii="Arial Narrow" w:hAnsi="Arial Narrow"/>
              </w:rPr>
              <w:t xml:space="preserve"> la conectividad y articular las regiones del Estado.</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Generar un nuevo modelo para el desarrollo rural que mejore la rentabilidad de las actividades productivas.</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Acciones de fomento de la actividad turística, acorde a potencialidades de las diferentes cadenas productivas.</w:t>
            </w:r>
          </w:p>
        </w:tc>
      </w:tr>
      <w:tr w:rsidR="00B83815" w:rsidRPr="00992D26" w:rsidTr="00934835">
        <w:trPr>
          <w:cantSplit/>
          <w:jc w:val="center"/>
        </w:trPr>
        <w:tc>
          <w:tcPr>
            <w:tcW w:w="9639" w:type="dxa"/>
            <w:tcBorders>
              <w:bottom w:val="single" w:sz="12" w:space="0" w:color="auto"/>
            </w:tcBorders>
          </w:tcPr>
          <w:p w:rsidR="00B83815" w:rsidRPr="00992D26" w:rsidRDefault="00B83815" w:rsidP="00934835">
            <w:pPr>
              <w:pStyle w:val="Texto"/>
              <w:ind w:firstLine="0"/>
              <w:rPr>
                <w:rFonts w:ascii="Arial Narrow" w:hAnsi="Arial Narrow"/>
                <w:b/>
              </w:rPr>
            </w:pPr>
            <w:r w:rsidRPr="00992D26">
              <w:rPr>
                <w:rFonts w:ascii="Arial Narrow" w:hAnsi="Arial Narrow"/>
                <w:b/>
              </w:rPr>
              <w:t>METAS</w:t>
            </w:r>
          </w:p>
          <w:p w:rsidR="00B83815" w:rsidRPr="00992D26" w:rsidRDefault="00B83815" w:rsidP="00934835">
            <w:pPr>
              <w:pStyle w:val="Texto"/>
              <w:tabs>
                <w:tab w:val="left" w:pos="727"/>
                <w:tab w:val="left" w:pos="4003"/>
              </w:tabs>
              <w:ind w:left="648" w:hanging="305"/>
              <w:rPr>
                <w:rFonts w:ascii="Arial Narrow" w:hAnsi="Arial Narrow"/>
              </w:rPr>
            </w:pPr>
            <w:r w:rsidRPr="00992D26">
              <w:rPr>
                <w:rFonts w:ascii="Arial Narrow" w:hAnsi="Arial Narrow"/>
              </w:rPr>
              <w:t>●</w:t>
            </w:r>
            <w:r w:rsidRPr="00992D26">
              <w:rPr>
                <w:rFonts w:ascii="Arial Narrow" w:hAnsi="Arial Narrow"/>
              </w:rPr>
              <w:tab/>
              <w:t>Generar empleos calificados en cadenas de valor, que articulen las unidades económicas con los mercados regionales, nacionales e internacionales.</w:t>
            </w:r>
          </w:p>
          <w:p w:rsidR="00B83815" w:rsidRPr="00992D26" w:rsidRDefault="00B83815" w:rsidP="00934835">
            <w:pPr>
              <w:pStyle w:val="Texto"/>
              <w:tabs>
                <w:tab w:val="left" w:pos="288"/>
                <w:tab w:val="left" w:pos="4003"/>
              </w:tabs>
              <w:ind w:left="648" w:hanging="360"/>
              <w:rPr>
                <w:rFonts w:ascii="Arial Narrow" w:hAnsi="Arial Narrow"/>
              </w:rPr>
            </w:pPr>
            <w:r w:rsidRPr="00992D26">
              <w:rPr>
                <w:rFonts w:ascii="Arial Narrow" w:hAnsi="Arial Narrow"/>
              </w:rPr>
              <w:t xml:space="preserve"> ● </w:t>
            </w:r>
            <w:r>
              <w:rPr>
                <w:rFonts w:ascii="Arial Narrow" w:hAnsi="Arial Narrow"/>
              </w:rPr>
              <w:t xml:space="preserve">  </w:t>
            </w:r>
            <w:r w:rsidRPr="00992D26">
              <w:rPr>
                <w:rFonts w:ascii="Arial Narrow" w:hAnsi="Arial Narrow"/>
              </w:rPr>
              <w:t xml:space="preserve"> Impulsar y fortalecer a las medianas, pequeñas y micro empresas, así como incubadoras y emprendedores.</w:t>
            </w:r>
          </w:p>
          <w:p w:rsidR="00B83815" w:rsidRPr="00992D26" w:rsidRDefault="00B83815" w:rsidP="00934835">
            <w:pPr>
              <w:pStyle w:val="Texto"/>
              <w:ind w:left="648" w:hanging="305"/>
              <w:rPr>
                <w:rFonts w:ascii="Arial Narrow" w:hAnsi="Arial Narrow"/>
              </w:rPr>
            </w:pPr>
            <w:r w:rsidRPr="00992D26">
              <w:rPr>
                <w:rFonts w:ascii="Arial Narrow" w:hAnsi="Arial Narrow"/>
              </w:rPr>
              <w:t>●    Incremento sostenido de la productividad y competitividad de las actividades agrícolas, ganaderas, silvícolas, acuícolas y pesqueras.</w:t>
            </w:r>
          </w:p>
          <w:p w:rsidR="00B83815" w:rsidRPr="00992D26" w:rsidRDefault="00B83815" w:rsidP="00934835">
            <w:pPr>
              <w:pStyle w:val="Texto"/>
              <w:ind w:left="703" w:hanging="360"/>
              <w:rPr>
                <w:rFonts w:ascii="Arial Narrow" w:hAnsi="Arial Narrow"/>
              </w:rPr>
            </w:pPr>
            <w:r w:rsidRPr="00992D26">
              <w:rPr>
                <w:rFonts w:ascii="Arial Narrow" w:hAnsi="Arial Narrow"/>
              </w:rPr>
              <w:t>●   Consolidar el turismo como un motor de la actividad económica.</w:t>
            </w:r>
          </w:p>
          <w:p w:rsidR="00B83815" w:rsidRPr="00992D26" w:rsidRDefault="00B83815" w:rsidP="00934835">
            <w:pPr>
              <w:pStyle w:val="Texto"/>
              <w:tabs>
                <w:tab w:val="left" w:pos="727"/>
                <w:tab w:val="left" w:pos="4003"/>
              </w:tabs>
              <w:ind w:left="343" w:firstLine="0"/>
              <w:rPr>
                <w:rFonts w:ascii="Arial Narrow" w:hAnsi="Arial Narrow"/>
              </w:rPr>
            </w:pPr>
            <w:r w:rsidRPr="00992D26">
              <w:rPr>
                <w:rFonts w:ascii="Arial Narrow" w:hAnsi="Arial Narrow"/>
              </w:rPr>
              <w:t>●   Elevar los ingresos de los trabajadores y las trabajadoras.</w:t>
            </w:r>
          </w:p>
        </w:tc>
      </w:tr>
    </w:tbl>
    <w:p w:rsidR="00B83815" w:rsidRPr="00992D26" w:rsidRDefault="00B83815" w:rsidP="006B18BE">
      <w:pPr>
        <w:pStyle w:val="Sangradetextonormal"/>
        <w:spacing w:line="240" w:lineRule="auto"/>
        <w:ind w:left="539" w:firstLine="0"/>
        <w:jc w:val="left"/>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Estatal de Desarrollo de Nayarit 2011 - 2017</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Pr="00992D26">
        <w:rPr>
          <w:rFonts w:ascii="Arial Narrow" w:hAnsi="Arial Narrow" w:cs="Arial"/>
          <w:bCs/>
          <w:sz w:val="16"/>
          <w:szCs w:val="16"/>
        </w:rPr>
        <w:t>Paquete Fisca</w:t>
      </w:r>
      <w:r>
        <w:rPr>
          <w:rFonts w:ascii="Arial Narrow" w:hAnsi="Arial Narrow" w:cs="Arial"/>
          <w:bCs/>
          <w:sz w:val="16"/>
          <w:szCs w:val="16"/>
        </w:rPr>
        <w:t>l</w:t>
      </w:r>
      <w:r w:rsidR="006B18BE">
        <w:rPr>
          <w:rFonts w:ascii="Arial Narrow" w:hAnsi="Arial Narrow" w:cs="Arial"/>
          <w:bCs/>
          <w:sz w:val="16"/>
          <w:szCs w:val="16"/>
        </w:rPr>
        <w:t xml:space="preserve"> 2017</w:t>
      </w:r>
    </w:p>
    <w:p w:rsidR="00B83815" w:rsidRPr="00D6714B" w:rsidRDefault="00B83815" w:rsidP="00B83815">
      <w:pPr>
        <w:pStyle w:val="Sangradetextonormal"/>
        <w:ind w:firstLine="0"/>
        <w:jc w:val="left"/>
        <w:rPr>
          <w:rFonts w:ascii="Arial Narrow" w:hAnsi="Arial Narrow"/>
          <w:b/>
          <w:bCs/>
          <w:szCs w:val="28"/>
        </w:rPr>
      </w:pPr>
      <w:r w:rsidRPr="00D6714B">
        <w:rPr>
          <w:rFonts w:ascii="Arial Narrow" w:hAnsi="Arial Narrow"/>
          <w:b/>
          <w:bCs/>
          <w:szCs w:val="28"/>
        </w:rPr>
        <w:lastRenderedPageBreak/>
        <w:t>2.1.2.2.- Evolución de las Variables Económicas</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D6714B" w:rsidRDefault="00B83815" w:rsidP="00B83815">
      <w:pPr>
        <w:pStyle w:val="Sangradetextonormal"/>
        <w:ind w:firstLine="0"/>
        <w:rPr>
          <w:rFonts w:ascii="Arial Narrow" w:hAnsi="Arial Narrow"/>
          <w:sz w:val="22"/>
          <w:szCs w:val="22"/>
        </w:rPr>
      </w:pPr>
      <w:r w:rsidRPr="00992D26">
        <w:rPr>
          <w:rFonts w:ascii="Arial Narrow" w:hAnsi="Arial Narrow"/>
          <w:b/>
          <w:bCs/>
          <w:sz w:val="32"/>
          <w:szCs w:val="32"/>
        </w:rPr>
        <w:tab/>
      </w:r>
      <w:r w:rsidRPr="00D6714B">
        <w:rPr>
          <w:rFonts w:ascii="Arial Narrow" w:hAnsi="Arial Narrow"/>
          <w:sz w:val="22"/>
          <w:szCs w:val="22"/>
        </w:rPr>
        <w:t>En los últimos años, los indicadores posicionan a Nayarit con una concentración de la riqueza en las regiones Centro y Costa Sur, derivado en buena medida por las actividades económicas del comercio y el turismo que se desarrollan en estas zonas.</w:t>
      </w:r>
      <w:r>
        <w:rPr>
          <w:rFonts w:ascii="Arial Narrow" w:hAnsi="Arial Narrow"/>
          <w:sz w:val="22"/>
          <w:szCs w:val="22"/>
        </w:rPr>
        <w:t xml:space="preserve"> </w:t>
      </w:r>
      <w:r w:rsidRPr="00D6714B">
        <w:rPr>
          <w:rFonts w:ascii="Arial Narrow" w:hAnsi="Arial Narrow"/>
          <w:sz w:val="22"/>
          <w:szCs w:val="22"/>
        </w:rPr>
        <w:t>El resto del Estado mantiene fundamentalmente una economía enfocada al sector primario en amplias tierras cultivables y la producción de ganado y productos del mar.</w:t>
      </w:r>
    </w:p>
    <w:p w:rsidR="00B83815" w:rsidRPr="00D6714B" w:rsidRDefault="00B83815" w:rsidP="00B83815">
      <w:pPr>
        <w:pStyle w:val="Sangradetextonormal"/>
        <w:ind w:firstLine="0"/>
        <w:rPr>
          <w:rFonts w:ascii="Arial Narrow" w:hAnsi="Arial Narrow"/>
          <w:sz w:val="22"/>
          <w:szCs w:val="22"/>
        </w:rPr>
      </w:pPr>
    </w:p>
    <w:p w:rsidR="00B83815" w:rsidRPr="00992D26" w:rsidRDefault="00B83815" w:rsidP="00B83815">
      <w:pPr>
        <w:pStyle w:val="Sangradetextonormal"/>
        <w:ind w:firstLine="0"/>
        <w:rPr>
          <w:rFonts w:ascii="Arial Narrow" w:hAnsi="Arial Narrow"/>
          <w:b/>
          <w:bCs/>
          <w:sz w:val="32"/>
          <w:szCs w:val="32"/>
        </w:rPr>
      </w:pPr>
      <w:r w:rsidRPr="00D6714B">
        <w:rPr>
          <w:rFonts w:ascii="Arial Narrow" w:hAnsi="Arial Narrow"/>
          <w:sz w:val="22"/>
          <w:szCs w:val="22"/>
        </w:rPr>
        <w:tab/>
        <w:t>En los siguientes apartados se describe el comportamiento de las principales variables económicas al interior del Estado.</w:t>
      </w:r>
    </w:p>
    <w:p w:rsidR="00B83815" w:rsidRDefault="00B83815" w:rsidP="00B83815">
      <w:pPr>
        <w:pStyle w:val="Sangradetextonormal"/>
        <w:spacing w:line="240" w:lineRule="auto"/>
        <w:ind w:firstLine="0"/>
        <w:jc w:val="left"/>
        <w:rPr>
          <w:rFonts w:ascii="Arial Narrow" w:hAnsi="Arial Narrow"/>
          <w:b/>
          <w:bCs/>
          <w:sz w:val="32"/>
          <w:szCs w:val="32"/>
        </w:rPr>
      </w:pPr>
    </w:p>
    <w:p w:rsidR="00B83815" w:rsidRPr="00D6714B" w:rsidRDefault="00B83815" w:rsidP="00B83815">
      <w:pPr>
        <w:pStyle w:val="Sangradetextonormal"/>
        <w:numPr>
          <w:ilvl w:val="0"/>
          <w:numId w:val="9"/>
        </w:numPr>
        <w:jc w:val="left"/>
        <w:rPr>
          <w:rFonts w:ascii="Arial Narrow" w:hAnsi="Arial Narrow"/>
          <w:b/>
          <w:bCs/>
          <w:szCs w:val="28"/>
        </w:rPr>
      </w:pPr>
      <w:r w:rsidRPr="00D6714B">
        <w:rPr>
          <w:rFonts w:ascii="Arial Narrow" w:hAnsi="Arial Narrow"/>
          <w:b/>
          <w:bCs/>
          <w:szCs w:val="28"/>
        </w:rPr>
        <w:t>Producto Interno Bruto (PIB)</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D6714B" w:rsidRDefault="00B83815" w:rsidP="00B83815">
      <w:pPr>
        <w:pStyle w:val="Sangradetextonormal"/>
        <w:ind w:firstLine="720"/>
        <w:rPr>
          <w:rFonts w:ascii="Arial Narrow" w:hAnsi="Arial Narrow"/>
          <w:sz w:val="22"/>
          <w:szCs w:val="22"/>
        </w:rPr>
      </w:pPr>
      <w:bookmarkStart w:id="0" w:name="OLE_LINK1"/>
      <w:bookmarkStart w:id="1" w:name="OLE_LINK2"/>
      <w:bookmarkStart w:id="2" w:name="OLE_LINK3"/>
      <w:bookmarkStart w:id="3" w:name="OLE_LINK4"/>
      <w:r w:rsidRPr="00D6714B">
        <w:rPr>
          <w:rFonts w:ascii="Arial Narrow" w:hAnsi="Arial Narrow"/>
          <w:sz w:val="22"/>
          <w:szCs w:val="22"/>
        </w:rPr>
        <w:t xml:space="preserve">Con base en información difundida por el INEGI (Instituto Nacional de Estadística y Geografía) en su portal </w:t>
      </w:r>
      <w:r w:rsidR="00F3254F">
        <w:rPr>
          <w:rFonts w:ascii="Arial Narrow" w:hAnsi="Arial Narrow"/>
          <w:sz w:val="22"/>
          <w:szCs w:val="22"/>
        </w:rPr>
        <w:t xml:space="preserve">oficial </w:t>
      </w:r>
      <w:r w:rsidRPr="00D6714B">
        <w:rPr>
          <w:rFonts w:ascii="Arial Narrow" w:hAnsi="Arial Narrow"/>
          <w:sz w:val="22"/>
          <w:szCs w:val="22"/>
        </w:rPr>
        <w:t>de internet, se refleja que en el Estado de Nayarit el Prod</w:t>
      </w:r>
      <w:r w:rsidR="0066058B">
        <w:rPr>
          <w:rFonts w:ascii="Arial Narrow" w:hAnsi="Arial Narrow"/>
          <w:sz w:val="22"/>
          <w:szCs w:val="22"/>
        </w:rPr>
        <w:t>ucto Interno Bruto (PIB) de 2015</w:t>
      </w:r>
      <w:r w:rsidRPr="00D6714B">
        <w:rPr>
          <w:rFonts w:ascii="Arial Narrow" w:hAnsi="Arial Narrow"/>
          <w:sz w:val="22"/>
          <w:szCs w:val="22"/>
        </w:rPr>
        <w:t xml:space="preserve"> se situó en la cantidad de </w:t>
      </w:r>
      <w:bookmarkEnd w:id="0"/>
      <w:bookmarkEnd w:id="1"/>
      <w:r w:rsidR="0066058B">
        <w:rPr>
          <w:rFonts w:ascii="Arial Narrow" w:hAnsi="Arial Narrow"/>
          <w:sz w:val="22"/>
          <w:szCs w:val="22"/>
        </w:rPr>
        <w:t>114,977</w:t>
      </w:r>
      <w:r w:rsidRPr="00D6714B">
        <w:rPr>
          <w:rFonts w:ascii="Arial Narrow" w:hAnsi="Arial Narrow"/>
          <w:sz w:val="22"/>
          <w:szCs w:val="22"/>
        </w:rPr>
        <w:t xml:space="preserve"> mi</w:t>
      </w:r>
      <w:r w:rsidR="0066058B">
        <w:rPr>
          <w:rFonts w:ascii="Arial Narrow" w:hAnsi="Arial Narrow"/>
          <w:sz w:val="22"/>
          <w:szCs w:val="22"/>
        </w:rPr>
        <w:t>llones de pesos, pasando en 2016 al monto de 119,106</w:t>
      </w:r>
      <w:r w:rsidRPr="00D6714B">
        <w:rPr>
          <w:rFonts w:ascii="Arial Narrow" w:hAnsi="Arial Narrow"/>
          <w:sz w:val="22"/>
          <w:szCs w:val="22"/>
        </w:rPr>
        <w:t xml:space="preserve"> millones de pesos, cifras que indican que la participación estatal en el PIB nacional de los años citados, se ubica en 0</w:t>
      </w:r>
      <w:r w:rsidR="003A6900">
        <w:rPr>
          <w:rFonts w:ascii="Arial Narrow" w:hAnsi="Arial Narrow"/>
          <w:sz w:val="22"/>
          <w:szCs w:val="22"/>
        </w:rPr>
        <w:t>.69 y 0.70</w:t>
      </w:r>
      <w:r w:rsidRPr="00D6714B">
        <w:rPr>
          <w:rFonts w:ascii="Arial Narrow" w:hAnsi="Arial Narrow"/>
          <w:sz w:val="22"/>
          <w:szCs w:val="22"/>
        </w:rPr>
        <w:t xml:space="preserve"> por ciento, respectivamente</w:t>
      </w:r>
      <w:bookmarkEnd w:id="2"/>
      <w:bookmarkEnd w:id="3"/>
      <w:r w:rsidRPr="00D6714B">
        <w:rPr>
          <w:rFonts w:ascii="Arial Narrow" w:hAnsi="Arial Narrow"/>
          <w:sz w:val="22"/>
          <w:szCs w:val="22"/>
        </w:rPr>
        <w:t>.</w:t>
      </w:r>
    </w:p>
    <w:p w:rsidR="00B83815" w:rsidRPr="00D6714B" w:rsidRDefault="00B83815" w:rsidP="00B83815">
      <w:pPr>
        <w:pStyle w:val="Sangradetextonormal"/>
        <w:ind w:left="708" w:firstLine="0"/>
        <w:jc w:val="left"/>
        <w:rPr>
          <w:rFonts w:ascii="Arial Narrow" w:hAnsi="Arial Narrow"/>
          <w:b/>
          <w:bCs/>
          <w:sz w:val="22"/>
          <w:szCs w:val="22"/>
        </w:rPr>
      </w:pPr>
    </w:p>
    <w:p w:rsidR="00B83815"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t>Los valores enunciados en el párrafo precedente correspon</w:t>
      </w:r>
      <w:r w:rsidR="0066058B">
        <w:rPr>
          <w:rFonts w:ascii="Arial Narrow" w:hAnsi="Arial Narrow"/>
          <w:sz w:val="22"/>
          <w:szCs w:val="22"/>
        </w:rPr>
        <w:t>den a precios constantes de 2013</w:t>
      </w:r>
      <w:r w:rsidRPr="00D6714B">
        <w:rPr>
          <w:rFonts w:ascii="Arial Narrow" w:hAnsi="Arial Narrow"/>
          <w:sz w:val="22"/>
          <w:szCs w:val="22"/>
        </w:rPr>
        <w:t>, mismos que por actividad económica, se desglosan de la siguiente forma:</w:t>
      </w:r>
    </w:p>
    <w:p w:rsidR="00B83815" w:rsidRPr="00D6714B" w:rsidRDefault="00B83815" w:rsidP="00B83815">
      <w:pPr>
        <w:pStyle w:val="Sangradetextonormal"/>
        <w:ind w:firstLine="720"/>
        <w:rPr>
          <w:rFonts w:ascii="Arial Narrow" w:hAnsi="Arial Narrow"/>
          <w:sz w:val="22"/>
          <w:szCs w:val="22"/>
        </w:rPr>
      </w:pPr>
    </w:p>
    <w:p w:rsidR="00B83815" w:rsidRPr="00992D26" w:rsidRDefault="007856AA" w:rsidP="00B83815">
      <w:pPr>
        <w:pStyle w:val="Sangradetextonormal"/>
        <w:ind w:firstLine="720"/>
        <w:rPr>
          <w:rFonts w:ascii="Arial Narrow" w:hAnsi="Arial Narrow"/>
          <w:sz w:val="25"/>
        </w:rPr>
      </w:pPr>
      <w:r>
        <w:rPr>
          <w:rFonts w:ascii="Arial Narrow" w:hAnsi="Arial Narrow"/>
          <w:noProof/>
          <w:sz w:val="25"/>
        </w:rPr>
        <w:pict>
          <v:shape id="_x0000_s1181" type="#_x0000_t75" style="position:absolute;left:0;text-align:left;margin-left:2.7pt;margin-top:1.95pt;width:443.25pt;height:107.25pt;z-index:251867136;mso-position-horizontal-relative:text;mso-position-vertical-relative:text">
            <v:imagedata r:id="rId12" o:title=""/>
          </v:shape>
          <o:OLEObject Type="Embed" ProgID="Excel.Sheet.12" ShapeID="_x0000_s1181" DrawAspect="Content" ObjectID="_1586853567" r:id="rId13"/>
        </w:pict>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0"/>
        <w:rPr>
          <w:rFonts w:ascii="Arial Narrow" w:hAnsi="Arial Narrow"/>
          <w:bCs/>
          <w:sz w:val="18"/>
          <w:szCs w:val="18"/>
        </w:rPr>
      </w:pPr>
      <w:r w:rsidRPr="00992D26">
        <w:rPr>
          <w:rFonts w:ascii="Arial Narrow" w:hAnsi="Arial Narrow"/>
          <w:bCs/>
          <w:sz w:val="18"/>
          <w:szCs w:val="18"/>
        </w:rPr>
        <w:t xml:space="preserve">        </w:t>
      </w:r>
    </w:p>
    <w:p w:rsidR="00B83815" w:rsidRPr="00D6714B"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lastRenderedPageBreak/>
        <w:t>De acuerdo con las cifras mostradas en el</w:t>
      </w:r>
      <w:r w:rsidR="0066058B">
        <w:rPr>
          <w:rFonts w:ascii="Arial Narrow" w:hAnsi="Arial Narrow"/>
          <w:sz w:val="22"/>
          <w:szCs w:val="22"/>
        </w:rPr>
        <w:t xml:space="preserve"> cuadro anterior, en el año 2016</w:t>
      </w:r>
      <w:r w:rsidRPr="00D6714B">
        <w:rPr>
          <w:rFonts w:ascii="Arial Narrow" w:hAnsi="Arial Narrow"/>
          <w:sz w:val="22"/>
          <w:szCs w:val="22"/>
        </w:rPr>
        <w:t xml:space="preserve"> sobresalen las act</w:t>
      </w:r>
      <w:r w:rsidR="003A6900">
        <w:rPr>
          <w:rFonts w:ascii="Arial Narrow" w:hAnsi="Arial Narrow"/>
          <w:sz w:val="22"/>
          <w:szCs w:val="22"/>
        </w:rPr>
        <w:t>ividades terciarias con un 72.1</w:t>
      </w:r>
      <w:r w:rsidR="00F73045">
        <w:rPr>
          <w:rFonts w:ascii="Arial Narrow" w:hAnsi="Arial Narrow"/>
          <w:sz w:val="22"/>
          <w:szCs w:val="22"/>
        </w:rPr>
        <w:t>2</w:t>
      </w:r>
      <w:r w:rsidRPr="00D6714B">
        <w:rPr>
          <w:rFonts w:ascii="Arial Narrow" w:hAnsi="Arial Narrow"/>
          <w:sz w:val="22"/>
          <w:szCs w:val="22"/>
        </w:rPr>
        <w:t xml:space="preserve">% del total reportado, destacando al interior de este rubro, por su mayor cuantía, </w:t>
      </w:r>
      <w:r w:rsidR="003A6900">
        <w:rPr>
          <w:rFonts w:ascii="Arial Narrow" w:hAnsi="Arial Narrow"/>
          <w:sz w:val="22"/>
          <w:szCs w:val="22"/>
        </w:rPr>
        <w:t xml:space="preserve">los </w:t>
      </w:r>
      <w:r w:rsidRPr="00D6714B">
        <w:rPr>
          <w:rFonts w:ascii="Arial Narrow" w:hAnsi="Arial Narrow"/>
          <w:sz w:val="22"/>
          <w:szCs w:val="22"/>
        </w:rPr>
        <w:t xml:space="preserve">Servicios inmobiliarios y de alquiler </w:t>
      </w:r>
      <w:r w:rsidR="003A6900">
        <w:rPr>
          <w:rFonts w:ascii="Arial Narrow" w:hAnsi="Arial Narrow"/>
          <w:sz w:val="22"/>
          <w:szCs w:val="22"/>
        </w:rPr>
        <w:t>de bienes muebles e intangibles</w:t>
      </w:r>
      <w:r w:rsidR="00FC7B13">
        <w:rPr>
          <w:rFonts w:ascii="Arial Narrow" w:hAnsi="Arial Narrow"/>
          <w:sz w:val="22"/>
          <w:szCs w:val="22"/>
        </w:rPr>
        <w:t xml:space="preserve">, </w:t>
      </w:r>
      <w:r w:rsidR="003A6900">
        <w:rPr>
          <w:rFonts w:ascii="Arial Narrow" w:hAnsi="Arial Narrow"/>
          <w:sz w:val="22"/>
          <w:szCs w:val="22"/>
        </w:rPr>
        <w:t xml:space="preserve">los </w:t>
      </w:r>
      <w:r w:rsidR="003A6900" w:rsidRPr="003A6900">
        <w:rPr>
          <w:rFonts w:ascii="Arial Narrow" w:hAnsi="Arial Narrow"/>
          <w:sz w:val="22"/>
          <w:szCs w:val="22"/>
        </w:rPr>
        <w:t>Servicios de alojamiento temporal y de preparación de alimentos y bebidas</w:t>
      </w:r>
      <w:r w:rsidR="00FC7B13">
        <w:rPr>
          <w:rFonts w:ascii="Arial Narrow" w:hAnsi="Arial Narrow"/>
          <w:sz w:val="22"/>
          <w:szCs w:val="22"/>
        </w:rPr>
        <w:t xml:space="preserve">, así como el </w:t>
      </w:r>
      <w:r w:rsidR="00FC7B13" w:rsidRPr="00FC7B13">
        <w:rPr>
          <w:rFonts w:ascii="Arial Narrow" w:hAnsi="Arial Narrow"/>
          <w:sz w:val="22"/>
          <w:szCs w:val="22"/>
        </w:rPr>
        <w:t>Comercio al por menor</w:t>
      </w:r>
      <w:r w:rsidR="00FC7B13">
        <w:rPr>
          <w:rFonts w:ascii="Arial Narrow" w:hAnsi="Arial Narrow"/>
          <w:sz w:val="22"/>
          <w:szCs w:val="22"/>
        </w:rPr>
        <w:t>.</w:t>
      </w:r>
    </w:p>
    <w:p w:rsidR="00B83815" w:rsidRPr="00D6714B" w:rsidRDefault="00B83815" w:rsidP="00B83815">
      <w:pPr>
        <w:pStyle w:val="Sangradetextonormal"/>
        <w:ind w:firstLine="720"/>
        <w:rPr>
          <w:rFonts w:ascii="Arial Narrow" w:hAnsi="Arial Narrow"/>
          <w:sz w:val="22"/>
          <w:szCs w:val="22"/>
        </w:rPr>
      </w:pPr>
    </w:p>
    <w:p w:rsidR="00B83815" w:rsidRPr="00D6714B"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t>En la siguiente gráfica se ilustra la evolución que ha tenido el PIB en el Estado de Nayarit</w:t>
      </w:r>
      <w:r w:rsidR="0066058B">
        <w:rPr>
          <w:rFonts w:ascii="Arial Narrow" w:hAnsi="Arial Narrow"/>
          <w:sz w:val="22"/>
          <w:szCs w:val="22"/>
        </w:rPr>
        <w:t xml:space="preserve"> en los últimos cinco años (2012 a 2016</w:t>
      </w:r>
      <w:r w:rsidRPr="00D6714B">
        <w:rPr>
          <w:rFonts w:ascii="Arial Narrow" w:hAnsi="Arial Narrow"/>
          <w:sz w:val="22"/>
          <w:szCs w:val="22"/>
        </w:rPr>
        <w:t>) con valores considerados en millones de pe</w:t>
      </w:r>
      <w:r w:rsidR="0066058B">
        <w:rPr>
          <w:rFonts w:ascii="Arial Narrow" w:hAnsi="Arial Narrow"/>
          <w:sz w:val="22"/>
          <w:szCs w:val="22"/>
        </w:rPr>
        <w:t>sos a precios constantes de 2013</w:t>
      </w:r>
      <w:r w:rsidRPr="00D6714B">
        <w:rPr>
          <w:rFonts w:ascii="Arial Narrow" w:hAnsi="Arial Narrow"/>
          <w:sz w:val="22"/>
          <w:szCs w:val="22"/>
        </w:rPr>
        <w:t>:</w:t>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7856AA" w:rsidP="00B83815">
      <w:pPr>
        <w:pStyle w:val="Sangradetextonormal"/>
        <w:ind w:firstLine="720"/>
        <w:rPr>
          <w:rFonts w:ascii="Arial Narrow" w:hAnsi="Arial Narrow"/>
          <w:b/>
          <w:bCs/>
          <w:sz w:val="32"/>
          <w:szCs w:val="32"/>
        </w:rPr>
      </w:pPr>
      <w:r>
        <w:rPr>
          <w:rFonts w:ascii="Arial Narrow" w:hAnsi="Arial Narrow"/>
          <w:b/>
          <w:bCs/>
          <w:noProof/>
          <w:sz w:val="32"/>
          <w:szCs w:val="32"/>
        </w:rPr>
        <w:pict>
          <v:shape id="_x0000_s1184" type="#_x0000_t75" style="position:absolute;left:0;text-align:left;margin-left:-16.05pt;margin-top:3.75pt;width:461.25pt;height:260.25pt;z-index:251869184;mso-position-horizontal-relative:text;mso-position-vertical-relative:text">
            <v:imagedata r:id="rId14" o:title=""/>
          </v:shape>
          <o:OLEObject Type="Embed" ProgID="Excel.Sheet.12" ShapeID="_x0000_s1184" DrawAspect="Content" ObjectID="_1586853568" r:id="rId15"/>
        </w:pict>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5C4FE7" w:rsidRDefault="005C4FE7" w:rsidP="00B83815">
      <w:pPr>
        <w:pStyle w:val="Sangradetextonormal"/>
        <w:ind w:firstLine="720"/>
        <w:rPr>
          <w:rFonts w:ascii="Arial Narrow" w:hAnsi="Arial Narrow"/>
          <w:bCs/>
          <w:sz w:val="20"/>
        </w:rPr>
      </w:pPr>
    </w:p>
    <w:p w:rsidR="00B83815" w:rsidRPr="00352CE6" w:rsidRDefault="00B83815" w:rsidP="00B83815">
      <w:pPr>
        <w:pStyle w:val="Sangradetextonormal"/>
        <w:ind w:firstLine="720"/>
        <w:rPr>
          <w:rFonts w:ascii="Arial Narrow" w:hAnsi="Arial Narrow"/>
          <w:bCs/>
          <w:sz w:val="20"/>
        </w:rPr>
      </w:pPr>
      <w:r w:rsidRPr="00352CE6">
        <w:rPr>
          <w:rFonts w:ascii="Arial Narrow" w:hAnsi="Arial Narrow"/>
          <w:bCs/>
          <w:sz w:val="20"/>
        </w:rPr>
        <w:t>Fuente: INEGI</w:t>
      </w:r>
    </w:p>
    <w:p w:rsidR="00B83815"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spacing w:line="480" w:lineRule="auto"/>
        <w:ind w:firstLine="720"/>
        <w:rPr>
          <w:rFonts w:ascii="Arial Narrow" w:hAnsi="Arial Narrow"/>
          <w:b/>
          <w:bCs/>
          <w:sz w:val="32"/>
          <w:szCs w:val="32"/>
        </w:rPr>
      </w:pPr>
    </w:p>
    <w:p w:rsidR="00B83815" w:rsidRDefault="00B83815" w:rsidP="00B83815">
      <w:pPr>
        <w:pStyle w:val="Sangradetextonormal"/>
        <w:spacing w:line="480" w:lineRule="auto"/>
        <w:ind w:firstLine="720"/>
        <w:rPr>
          <w:rFonts w:ascii="Arial Narrow" w:hAnsi="Arial Narrow"/>
          <w:b/>
          <w:bCs/>
          <w:sz w:val="32"/>
          <w:szCs w:val="32"/>
        </w:rPr>
      </w:pPr>
    </w:p>
    <w:p w:rsidR="00B83815" w:rsidRPr="00E55E3E" w:rsidRDefault="00B83815" w:rsidP="00B83815">
      <w:pPr>
        <w:pStyle w:val="Sangradetextonormal"/>
        <w:numPr>
          <w:ilvl w:val="0"/>
          <w:numId w:val="9"/>
        </w:numPr>
        <w:jc w:val="left"/>
        <w:rPr>
          <w:rFonts w:ascii="Arial Narrow" w:hAnsi="Arial Narrow"/>
          <w:b/>
          <w:bCs/>
          <w:szCs w:val="28"/>
        </w:rPr>
      </w:pPr>
      <w:r w:rsidRPr="00E55E3E">
        <w:rPr>
          <w:rFonts w:ascii="Arial Narrow" w:hAnsi="Arial Narrow"/>
          <w:b/>
          <w:bCs/>
          <w:szCs w:val="28"/>
        </w:rPr>
        <w:lastRenderedPageBreak/>
        <w:t>Empleo</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 xml:space="preserve">Con base en </w:t>
      </w:r>
      <w:r w:rsidR="00A6357A">
        <w:rPr>
          <w:rFonts w:ascii="Arial Narrow" w:hAnsi="Arial Narrow"/>
          <w:sz w:val="22"/>
          <w:szCs w:val="22"/>
        </w:rPr>
        <w:t>información publicada por la Secretaría del Trabajo y Previsión Social en su portal oficial de inte</w:t>
      </w:r>
      <w:r w:rsidR="00C95163">
        <w:rPr>
          <w:rFonts w:ascii="Arial Narrow" w:hAnsi="Arial Narrow"/>
          <w:sz w:val="22"/>
          <w:szCs w:val="22"/>
        </w:rPr>
        <w:t>rnet, al 31 de Diciembre de 2017</w:t>
      </w:r>
      <w:r w:rsidR="00A6357A">
        <w:rPr>
          <w:rFonts w:ascii="Arial Narrow" w:hAnsi="Arial Narrow"/>
          <w:sz w:val="22"/>
          <w:szCs w:val="22"/>
        </w:rPr>
        <w:t xml:space="preserve"> en Nayarit la población en edad de trabajar (15 años y </w:t>
      </w:r>
      <w:r w:rsidR="00C95163">
        <w:rPr>
          <w:rFonts w:ascii="Arial Narrow" w:hAnsi="Arial Narrow"/>
          <w:sz w:val="22"/>
          <w:szCs w:val="22"/>
        </w:rPr>
        <w:t>más) alcanzó la cifra de 932,964 personas, de las cuales 614,098</w:t>
      </w:r>
      <w:r w:rsidR="00A6357A">
        <w:rPr>
          <w:rFonts w:ascii="Arial Narrow" w:hAnsi="Arial Narrow"/>
          <w:sz w:val="22"/>
          <w:szCs w:val="22"/>
        </w:rPr>
        <w:t xml:space="preserve"> corresponden a la Población Económicamente Activa (PEA), mientras que la Población Econó</w:t>
      </w:r>
      <w:r w:rsidR="00C95163">
        <w:rPr>
          <w:rFonts w:ascii="Arial Narrow" w:hAnsi="Arial Narrow"/>
          <w:sz w:val="22"/>
          <w:szCs w:val="22"/>
        </w:rPr>
        <w:t>micamente Inactiva asciende a 318,866</w:t>
      </w:r>
      <w:r w:rsidR="00A6357A">
        <w:rPr>
          <w:rFonts w:ascii="Arial Narrow" w:hAnsi="Arial Narrow"/>
          <w:sz w:val="22"/>
          <w:szCs w:val="22"/>
        </w:rPr>
        <w:t xml:space="preserve"> individuos.</w:t>
      </w:r>
    </w:p>
    <w:p w:rsidR="00B83815" w:rsidRPr="00E55E3E" w:rsidRDefault="00B83815" w:rsidP="00B83815">
      <w:pPr>
        <w:pStyle w:val="Sangradetextonormal"/>
        <w:ind w:firstLine="720"/>
        <w:rPr>
          <w:rFonts w:ascii="Arial Narrow" w:hAnsi="Arial Narrow"/>
          <w:sz w:val="22"/>
          <w:szCs w:val="22"/>
        </w:rPr>
      </w:pPr>
    </w:p>
    <w:p w:rsidR="00B83815" w:rsidRPr="00E55E3E" w:rsidRDefault="00A6357A" w:rsidP="00B83815">
      <w:pPr>
        <w:pStyle w:val="Sangradetextonormal"/>
        <w:ind w:firstLine="720"/>
        <w:rPr>
          <w:rFonts w:ascii="Arial Narrow" w:hAnsi="Arial Narrow"/>
          <w:sz w:val="22"/>
          <w:szCs w:val="22"/>
        </w:rPr>
      </w:pPr>
      <w:r>
        <w:rPr>
          <w:rFonts w:ascii="Arial Narrow" w:hAnsi="Arial Narrow"/>
          <w:sz w:val="22"/>
          <w:szCs w:val="22"/>
        </w:rPr>
        <w:t>Al considerar a la P</w:t>
      </w:r>
      <w:r w:rsidR="00B83815" w:rsidRPr="00E55E3E">
        <w:rPr>
          <w:rFonts w:ascii="Arial Narrow" w:hAnsi="Arial Narrow"/>
          <w:sz w:val="22"/>
          <w:szCs w:val="22"/>
        </w:rPr>
        <w:t xml:space="preserve">oblación </w:t>
      </w:r>
      <w:r>
        <w:rPr>
          <w:rFonts w:ascii="Arial Narrow" w:hAnsi="Arial Narrow"/>
          <w:sz w:val="22"/>
          <w:szCs w:val="22"/>
        </w:rPr>
        <w:t>Económicamente A</w:t>
      </w:r>
      <w:r w:rsidR="00C95163">
        <w:rPr>
          <w:rFonts w:ascii="Arial Narrow" w:hAnsi="Arial Narrow"/>
          <w:sz w:val="22"/>
          <w:szCs w:val="22"/>
        </w:rPr>
        <w:t>ctiva (PEA) se determinó que 592,077</w:t>
      </w:r>
      <w:r>
        <w:rPr>
          <w:rFonts w:ascii="Arial Narrow" w:hAnsi="Arial Narrow"/>
          <w:sz w:val="22"/>
          <w:szCs w:val="22"/>
        </w:rPr>
        <w:t xml:space="preserve"> se encon</w:t>
      </w:r>
      <w:r w:rsidR="00C95163">
        <w:rPr>
          <w:rFonts w:ascii="Arial Narrow" w:hAnsi="Arial Narrow"/>
          <w:sz w:val="22"/>
          <w:szCs w:val="22"/>
        </w:rPr>
        <w:t>traban ocupados, mientras que 22,021</w:t>
      </w:r>
      <w:r>
        <w:rPr>
          <w:rFonts w:ascii="Arial Narrow" w:hAnsi="Arial Narrow"/>
          <w:sz w:val="22"/>
          <w:szCs w:val="22"/>
        </w:rPr>
        <w:t xml:space="preserve"> pertenecían a la población desocupada.</w:t>
      </w:r>
    </w:p>
    <w:p w:rsidR="00B83815" w:rsidRPr="00E55E3E" w:rsidRDefault="00B83815" w:rsidP="00B83815">
      <w:pPr>
        <w:pStyle w:val="Sangradetextonormal"/>
        <w:ind w:firstLine="720"/>
        <w:rPr>
          <w:rFonts w:ascii="Arial Narrow" w:hAnsi="Arial Narrow"/>
          <w:sz w:val="22"/>
          <w:szCs w:val="22"/>
        </w:rPr>
      </w:pPr>
    </w:p>
    <w:p w:rsidR="00B83815" w:rsidRPr="00E55E3E" w:rsidRDefault="00A6357A" w:rsidP="00B83815">
      <w:pPr>
        <w:pStyle w:val="Sangradetextonormal"/>
        <w:ind w:firstLine="720"/>
        <w:rPr>
          <w:rFonts w:ascii="Arial Narrow" w:hAnsi="Arial Narrow"/>
          <w:sz w:val="22"/>
          <w:szCs w:val="22"/>
        </w:rPr>
      </w:pPr>
      <w:r>
        <w:rPr>
          <w:rFonts w:ascii="Arial Narrow" w:hAnsi="Arial Narrow"/>
          <w:sz w:val="22"/>
          <w:szCs w:val="22"/>
        </w:rPr>
        <w:t xml:space="preserve">Ahora bien, </w:t>
      </w:r>
      <w:r w:rsidR="00C404C1">
        <w:rPr>
          <w:rFonts w:ascii="Arial Narrow" w:hAnsi="Arial Narrow"/>
          <w:sz w:val="22"/>
          <w:szCs w:val="22"/>
        </w:rPr>
        <w:t>de la Población Ocupada se de</w:t>
      </w:r>
      <w:r w:rsidR="00C95163">
        <w:rPr>
          <w:rFonts w:ascii="Arial Narrow" w:hAnsi="Arial Narrow"/>
          <w:sz w:val="22"/>
          <w:szCs w:val="22"/>
        </w:rPr>
        <w:t>terminó como Asalariados 374,056</w:t>
      </w:r>
      <w:r w:rsidR="00C404C1">
        <w:rPr>
          <w:rFonts w:ascii="Arial Narrow" w:hAnsi="Arial Narrow"/>
          <w:sz w:val="22"/>
          <w:szCs w:val="22"/>
        </w:rPr>
        <w:t>, Trabaj</w:t>
      </w:r>
      <w:r w:rsidR="00C95163">
        <w:rPr>
          <w:rFonts w:ascii="Arial Narrow" w:hAnsi="Arial Narrow"/>
          <w:sz w:val="22"/>
          <w:szCs w:val="22"/>
        </w:rPr>
        <w:t>adores por cuenta propia 145,612, Empleadores 38,004 y Sin Pago/Otros 34,405</w:t>
      </w:r>
      <w:r w:rsidR="00C404C1">
        <w:rPr>
          <w:rFonts w:ascii="Arial Narrow" w:hAnsi="Arial Narrow"/>
          <w:sz w:val="22"/>
          <w:szCs w:val="22"/>
        </w:rPr>
        <w:t xml:space="preserve"> personas.</w:t>
      </w:r>
    </w:p>
    <w:p w:rsidR="00B83815" w:rsidRPr="00E55E3E" w:rsidRDefault="00B83815" w:rsidP="00B83815">
      <w:pPr>
        <w:pStyle w:val="Sangradetextonormal"/>
        <w:ind w:firstLine="720"/>
        <w:rPr>
          <w:rFonts w:ascii="Arial Narrow" w:hAnsi="Arial Narrow"/>
          <w:sz w:val="22"/>
          <w:szCs w:val="2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 xml:space="preserve">Otro enfoque desde el cual puede caracterizarse a la población ocupada es el que se refiere </w:t>
      </w:r>
      <w:r w:rsidR="00C404C1">
        <w:rPr>
          <w:rFonts w:ascii="Arial Narrow" w:hAnsi="Arial Narrow"/>
          <w:sz w:val="22"/>
          <w:szCs w:val="22"/>
        </w:rPr>
        <w:t xml:space="preserve">a la actividad económica en la que participan, encontrándose las siguientes ramas en que laboraban los </w:t>
      </w:r>
      <w:r w:rsidR="00A52B6B">
        <w:rPr>
          <w:rFonts w:ascii="Arial Narrow" w:hAnsi="Arial Narrow"/>
          <w:sz w:val="22"/>
          <w:szCs w:val="22"/>
        </w:rPr>
        <w:t>592,077</w:t>
      </w:r>
      <w:r w:rsidR="00B95AAC">
        <w:rPr>
          <w:rFonts w:ascii="Arial Narrow" w:hAnsi="Arial Narrow"/>
          <w:sz w:val="22"/>
          <w:szCs w:val="22"/>
        </w:rPr>
        <w:t xml:space="preserve"> </w:t>
      </w:r>
      <w:r w:rsidR="00C404C1">
        <w:rPr>
          <w:rFonts w:ascii="Arial Narrow" w:hAnsi="Arial Narrow"/>
          <w:sz w:val="22"/>
          <w:szCs w:val="22"/>
        </w:rPr>
        <w:t>trabaja</w:t>
      </w:r>
      <w:r w:rsidR="00A52B6B">
        <w:rPr>
          <w:rFonts w:ascii="Arial Narrow" w:hAnsi="Arial Narrow"/>
          <w:sz w:val="22"/>
          <w:szCs w:val="22"/>
        </w:rPr>
        <w:t>dores al 31 de Diciembre de 2017</w:t>
      </w:r>
      <w:r w:rsidR="00F3254F">
        <w:rPr>
          <w:rFonts w:ascii="Arial Narrow" w:hAnsi="Arial Narrow"/>
          <w:sz w:val="22"/>
          <w:szCs w:val="22"/>
        </w:rPr>
        <w:t>:</w:t>
      </w:r>
    </w:p>
    <w:p w:rsidR="00B83815" w:rsidRPr="00E55E3E" w:rsidRDefault="00B83815" w:rsidP="00B83815">
      <w:pPr>
        <w:pStyle w:val="Sangradetextonormal"/>
        <w:spacing w:line="240" w:lineRule="auto"/>
        <w:ind w:firstLine="720"/>
        <w:rPr>
          <w:rFonts w:ascii="Arial Narrow" w:hAnsi="Arial Narrow"/>
          <w:sz w:val="22"/>
          <w:szCs w:val="22"/>
        </w:rPr>
      </w:pPr>
    </w:p>
    <w:p w:rsidR="00C404C1" w:rsidRDefault="00C404C1" w:rsidP="00B83815">
      <w:pPr>
        <w:pStyle w:val="Sangradetextonormal"/>
        <w:ind w:left="697" w:firstLine="720"/>
        <w:rPr>
          <w:rFonts w:ascii="Arial Narrow" w:hAnsi="Arial Narrow"/>
          <w:sz w:val="22"/>
          <w:szCs w:val="22"/>
        </w:rPr>
      </w:pPr>
      <w:r>
        <w:rPr>
          <w:rFonts w:ascii="Arial Narrow" w:hAnsi="Arial Narrow"/>
          <w:sz w:val="22"/>
          <w:szCs w:val="22"/>
        </w:rPr>
        <w:t>Ac</w:t>
      </w:r>
      <w:r w:rsidR="00C95163">
        <w:rPr>
          <w:rFonts w:ascii="Arial Narrow" w:hAnsi="Arial Narrow"/>
          <w:sz w:val="22"/>
          <w:szCs w:val="22"/>
        </w:rPr>
        <w:t>tividades Agropecuarias</w:t>
      </w:r>
      <w:r w:rsidR="00C95163">
        <w:rPr>
          <w:rFonts w:ascii="Arial Narrow" w:hAnsi="Arial Narrow"/>
          <w:sz w:val="22"/>
          <w:szCs w:val="22"/>
        </w:rPr>
        <w:tab/>
      </w:r>
      <w:r w:rsidR="00C95163">
        <w:rPr>
          <w:rFonts w:ascii="Arial Narrow" w:hAnsi="Arial Narrow"/>
          <w:sz w:val="22"/>
          <w:szCs w:val="22"/>
        </w:rPr>
        <w:tab/>
        <w:t>119,859</w:t>
      </w:r>
    </w:p>
    <w:p w:rsidR="00C404C1" w:rsidRDefault="00C404C1" w:rsidP="00B83815">
      <w:pPr>
        <w:pStyle w:val="Sangradetextonormal"/>
        <w:ind w:left="697" w:firstLine="720"/>
        <w:rPr>
          <w:rFonts w:ascii="Arial Narrow" w:hAnsi="Arial Narrow"/>
          <w:sz w:val="22"/>
          <w:szCs w:val="22"/>
        </w:rPr>
      </w:pPr>
      <w:r>
        <w:rPr>
          <w:rFonts w:ascii="Arial Narrow" w:hAnsi="Arial Narrow"/>
          <w:sz w:val="22"/>
          <w:szCs w:val="22"/>
        </w:rPr>
        <w:t>In</w:t>
      </w:r>
      <w:r w:rsidR="00C95163">
        <w:rPr>
          <w:rFonts w:ascii="Arial Narrow" w:hAnsi="Arial Narrow"/>
          <w:sz w:val="22"/>
          <w:szCs w:val="22"/>
        </w:rPr>
        <w:t>dustria Manufacturera</w:t>
      </w:r>
      <w:r w:rsidR="00C95163">
        <w:rPr>
          <w:rFonts w:ascii="Arial Narrow" w:hAnsi="Arial Narrow"/>
          <w:sz w:val="22"/>
          <w:szCs w:val="22"/>
        </w:rPr>
        <w:tab/>
      </w:r>
      <w:r w:rsidR="00C95163">
        <w:rPr>
          <w:rFonts w:ascii="Arial Narrow" w:hAnsi="Arial Narrow"/>
          <w:sz w:val="22"/>
          <w:szCs w:val="22"/>
        </w:rPr>
        <w:tab/>
      </w:r>
      <w:r w:rsidR="00C95163">
        <w:rPr>
          <w:rFonts w:ascii="Arial Narrow" w:hAnsi="Arial Narrow"/>
          <w:sz w:val="22"/>
          <w:szCs w:val="22"/>
        </w:rPr>
        <w:tab/>
        <w:t xml:space="preserve">  47,630</w:t>
      </w:r>
    </w:p>
    <w:p w:rsidR="00C404C1" w:rsidRDefault="00C404C1" w:rsidP="00B83815">
      <w:pPr>
        <w:pStyle w:val="Sangradetextonormal"/>
        <w:ind w:left="697" w:firstLine="720"/>
        <w:rPr>
          <w:rFonts w:ascii="Arial Narrow" w:hAnsi="Arial Narrow"/>
          <w:sz w:val="22"/>
          <w:szCs w:val="22"/>
        </w:rPr>
      </w:pPr>
      <w:r>
        <w:rPr>
          <w:rFonts w:ascii="Arial Narrow" w:hAnsi="Arial Narrow"/>
          <w:sz w:val="22"/>
          <w:szCs w:val="22"/>
        </w:rPr>
        <w:t>Industria Extractiva y</w:t>
      </w:r>
      <w:r w:rsidR="00C95163">
        <w:rPr>
          <w:rFonts w:ascii="Arial Narrow" w:hAnsi="Arial Narrow"/>
          <w:sz w:val="22"/>
          <w:szCs w:val="22"/>
        </w:rPr>
        <w:t xml:space="preserve"> Electricidad</w:t>
      </w:r>
      <w:r w:rsidR="00C95163">
        <w:rPr>
          <w:rFonts w:ascii="Arial Narrow" w:hAnsi="Arial Narrow"/>
          <w:sz w:val="22"/>
          <w:szCs w:val="22"/>
        </w:rPr>
        <w:tab/>
      </w:r>
      <w:r w:rsidR="00C95163">
        <w:rPr>
          <w:rFonts w:ascii="Arial Narrow" w:hAnsi="Arial Narrow"/>
          <w:sz w:val="22"/>
          <w:szCs w:val="22"/>
        </w:rPr>
        <w:tab/>
        <w:t xml:space="preserve">    2,947</w:t>
      </w:r>
    </w:p>
    <w:p w:rsidR="00C404C1" w:rsidRDefault="00C95163" w:rsidP="00B83815">
      <w:pPr>
        <w:pStyle w:val="Sangradetextonormal"/>
        <w:ind w:left="697" w:firstLine="720"/>
        <w:rPr>
          <w:rFonts w:ascii="Arial Narrow" w:hAnsi="Arial Narrow"/>
          <w:sz w:val="22"/>
          <w:szCs w:val="22"/>
        </w:rPr>
      </w:pPr>
      <w:r>
        <w:rPr>
          <w:rFonts w:ascii="Arial Narrow" w:hAnsi="Arial Narrow"/>
          <w:sz w:val="22"/>
          <w:szCs w:val="22"/>
        </w:rPr>
        <w:t>Construcción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43,162</w:t>
      </w:r>
    </w:p>
    <w:p w:rsidR="00C404C1" w:rsidRDefault="00C95163" w:rsidP="00B83815">
      <w:pPr>
        <w:pStyle w:val="Sangradetextonormal"/>
        <w:ind w:left="697" w:firstLine="720"/>
        <w:rPr>
          <w:rFonts w:ascii="Arial Narrow" w:hAnsi="Arial Narrow"/>
          <w:sz w:val="22"/>
          <w:szCs w:val="22"/>
        </w:rPr>
      </w:pPr>
      <w:r>
        <w:rPr>
          <w:rFonts w:ascii="Arial Narrow" w:hAnsi="Arial Narrow"/>
          <w:sz w:val="22"/>
          <w:szCs w:val="22"/>
        </w:rPr>
        <w:t>Comercio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117,253</w:t>
      </w:r>
    </w:p>
    <w:p w:rsidR="00C404C1" w:rsidRDefault="00C404C1" w:rsidP="00B83815">
      <w:pPr>
        <w:pStyle w:val="Sangradetextonormal"/>
        <w:ind w:left="697" w:firstLine="720"/>
        <w:rPr>
          <w:rFonts w:ascii="Arial Narrow" w:hAnsi="Arial Narrow"/>
          <w:sz w:val="22"/>
          <w:szCs w:val="22"/>
        </w:rPr>
      </w:pPr>
      <w:r>
        <w:rPr>
          <w:rFonts w:ascii="Arial Narrow" w:hAnsi="Arial Narrow"/>
          <w:sz w:val="22"/>
          <w:szCs w:val="22"/>
        </w:rPr>
        <w:t>Transp</w:t>
      </w:r>
      <w:r w:rsidR="00C95163">
        <w:rPr>
          <w:rFonts w:ascii="Arial Narrow" w:hAnsi="Arial Narrow"/>
          <w:sz w:val="22"/>
          <w:szCs w:val="22"/>
        </w:rPr>
        <w:t>ortes y Comunicaciones</w:t>
      </w:r>
      <w:r w:rsidR="00C95163">
        <w:rPr>
          <w:rFonts w:ascii="Arial Narrow" w:hAnsi="Arial Narrow"/>
          <w:sz w:val="22"/>
          <w:szCs w:val="22"/>
        </w:rPr>
        <w:tab/>
      </w:r>
      <w:r w:rsidR="00C95163">
        <w:rPr>
          <w:rFonts w:ascii="Arial Narrow" w:hAnsi="Arial Narrow"/>
          <w:sz w:val="22"/>
          <w:szCs w:val="22"/>
        </w:rPr>
        <w:tab/>
        <w:t xml:space="preserve">  22,220</w:t>
      </w:r>
    </w:p>
    <w:p w:rsidR="00C404C1" w:rsidRDefault="00C95163" w:rsidP="00B83815">
      <w:pPr>
        <w:pStyle w:val="Sangradetextonormal"/>
        <w:ind w:left="697" w:firstLine="720"/>
        <w:rPr>
          <w:rFonts w:ascii="Arial Narrow" w:hAnsi="Arial Narrow"/>
          <w:sz w:val="22"/>
          <w:szCs w:val="22"/>
        </w:rPr>
      </w:pPr>
      <w:r>
        <w:rPr>
          <w:rFonts w:ascii="Arial Narrow" w:hAnsi="Arial Narrow"/>
          <w:sz w:val="22"/>
          <w:szCs w:val="22"/>
        </w:rPr>
        <w:t>Otros servicios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201,570</w:t>
      </w:r>
    </w:p>
    <w:p w:rsidR="00C404C1" w:rsidRDefault="00C404C1" w:rsidP="00B83815">
      <w:pPr>
        <w:pStyle w:val="Sangradetextonormal"/>
        <w:ind w:left="697" w:firstLine="720"/>
        <w:rPr>
          <w:rFonts w:ascii="Arial Narrow" w:hAnsi="Arial Narrow"/>
          <w:sz w:val="22"/>
          <w:szCs w:val="22"/>
        </w:rPr>
      </w:pPr>
      <w:r>
        <w:rPr>
          <w:rFonts w:ascii="Arial Narrow" w:hAnsi="Arial Narrow"/>
          <w:sz w:val="22"/>
          <w:szCs w:val="22"/>
        </w:rPr>
        <w:t>Gobierno y Org</w:t>
      </w:r>
      <w:r w:rsidR="00C95163">
        <w:rPr>
          <w:rFonts w:ascii="Arial Narrow" w:hAnsi="Arial Narrow"/>
          <w:sz w:val="22"/>
          <w:szCs w:val="22"/>
        </w:rPr>
        <w:t>anismos Internacionales</w:t>
      </w:r>
      <w:r w:rsidR="00C95163">
        <w:rPr>
          <w:rFonts w:ascii="Arial Narrow" w:hAnsi="Arial Narrow"/>
          <w:sz w:val="22"/>
          <w:szCs w:val="22"/>
        </w:rPr>
        <w:tab/>
        <w:t xml:space="preserve">  32,775</w:t>
      </w:r>
    </w:p>
    <w:p w:rsidR="00C404C1" w:rsidRDefault="00C404C1" w:rsidP="00B83815">
      <w:pPr>
        <w:pStyle w:val="Sangradetextonormal"/>
        <w:ind w:left="697" w:firstLine="720"/>
        <w:rPr>
          <w:rFonts w:ascii="Arial Narrow" w:hAnsi="Arial Narrow"/>
          <w:sz w:val="22"/>
          <w:szCs w:val="22"/>
        </w:rPr>
      </w:pPr>
      <w:r>
        <w:rPr>
          <w:rFonts w:ascii="Arial Narrow" w:hAnsi="Arial Narrow"/>
          <w:sz w:val="22"/>
          <w:szCs w:val="22"/>
        </w:rPr>
        <w:t>No especificado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404C1">
        <w:rPr>
          <w:rFonts w:ascii="Arial Narrow" w:hAnsi="Arial Narrow"/>
          <w:sz w:val="22"/>
          <w:szCs w:val="22"/>
          <w:u w:val="single"/>
        </w:rPr>
        <w:t xml:space="preserve">    </w:t>
      </w:r>
      <w:r w:rsidR="00C95163">
        <w:rPr>
          <w:rFonts w:ascii="Arial Narrow" w:hAnsi="Arial Narrow"/>
          <w:sz w:val="22"/>
          <w:szCs w:val="22"/>
          <w:u w:val="single"/>
        </w:rPr>
        <w:t>4,661</w:t>
      </w:r>
      <w:r>
        <w:rPr>
          <w:rFonts w:ascii="Arial Narrow" w:hAnsi="Arial Narrow"/>
          <w:sz w:val="22"/>
          <w:szCs w:val="22"/>
        </w:rPr>
        <w:tab/>
      </w:r>
    </w:p>
    <w:p w:rsidR="00B83815" w:rsidRPr="00E55E3E" w:rsidRDefault="00C404C1" w:rsidP="00B83815">
      <w:pPr>
        <w:pStyle w:val="Sangradetextonormal"/>
        <w:ind w:left="697" w:firstLine="720"/>
        <w:rPr>
          <w:rFonts w:ascii="Arial Narrow" w:hAnsi="Arial Narrow"/>
          <w:sz w:val="22"/>
          <w:szCs w:val="22"/>
        </w:rPr>
      </w:pPr>
      <w:r>
        <w:rPr>
          <w:rFonts w:ascii="Arial Narrow" w:hAnsi="Arial Narrow"/>
          <w:sz w:val="22"/>
          <w:szCs w:val="22"/>
        </w:rPr>
        <w:tab/>
      </w:r>
      <w:r>
        <w:rPr>
          <w:rFonts w:ascii="Arial Narrow" w:hAnsi="Arial Narrow"/>
          <w:sz w:val="22"/>
          <w:szCs w:val="22"/>
        </w:rPr>
        <w:tab/>
        <w:t>Total: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C95163">
        <w:rPr>
          <w:rFonts w:ascii="Arial Narrow" w:hAnsi="Arial Narrow"/>
          <w:sz w:val="22"/>
          <w:szCs w:val="22"/>
          <w:u w:val="double"/>
        </w:rPr>
        <w:t>592,077</w:t>
      </w:r>
      <w:r w:rsidRPr="00372052">
        <w:rPr>
          <w:rFonts w:ascii="Arial Narrow" w:hAnsi="Arial Narrow"/>
          <w:sz w:val="22"/>
          <w:szCs w:val="22"/>
          <w:u w:val="double"/>
        </w:rPr>
        <w:tab/>
      </w:r>
      <w:r>
        <w:rPr>
          <w:rFonts w:ascii="Arial Narrow" w:hAnsi="Arial Narrow"/>
          <w:sz w:val="22"/>
          <w:szCs w:val="22"/>
        </w:rPr>
        <w:t xml:space="preserve">     </w:t>
      </w:r>
    </w:p>
    <w:p w:rsidR="00B83815" w:rsidRPr="00E55E3E" w:rsidRDefault="00B83815" w:rsidP="00B83815">
      <w:pPr>
        <w:pStyle w:val="Sangradetextonormal"/>
        <w:ind w:firstLine="720"/>
        <w:rPr>
          <w:rFonts w:ascii="Arial Narrow" w:hAnsi="Arial Narrow"/>
          <w:sz w:val="22"/>
          <w:szCs w:val="2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lastRenderedPageBreak/>
        <w:t>Por otra parte y con base en información publicada por la</w:t>
      </w:r>
      <w:r w:rsidR="00B95AAC">
        <w:rPr>
          <w:rFonts w:ascii="Arial Narrow" w:hAnsi="Arial Narrow"/>
          <w:sz w:val="22"/>
          <w:szCs w:val="22"/>
        </w:rPr>
        <w:t xml:space="preserve"> misma</w:t>
      </w:r>
      <w:r w:rsidRPr="00E55E3E">
        <w:rPr>
          <w:rFonts w:ascii="Arial Narrow" w:hAnsi="Arial Narrow"/>
          <w:sz w:val="22"/>
          <w:szCs w:val="22"/>
        </w:rPr>
        <w:t xml:space="preserve"> Secretaría del Trabajo y Previsión Social en su portal oficial de inte</w:t>
      </w:r>
      <w:r w:rsidR="00C95163">
        <w:rPr>
          <w:rFonts w:ascii="Arial Narrow" w:hAnsi="Arial Narrow"/>
          <w:sz w:val="22"/>
          <w:szCs w:val="22"/>
        </w:rPr>
        <w:t>rnet, al 31 de Diciembre de 2017</w:t>
      </w:r>
      <w:r w:rsidRPr="00E55E3E">
        <w:rPr>
          <w:rFonts w:ascii="Arial Narrow" w:hAnsi="Arial Narrow"/>
          <w:sz w:val="22"/>
          <w:szCs w:val="22"/>
        </w:rPr>
        <w:t xml:space="preserve"> el número de trabajadores asegurados en el IMSS (Instituto Mexicano del Seguro Social) correspondiente al Estado de Nayari</w:t>
      </w:r>
      <w:r w:rsidR="009108FC">
        <w:rPr>
          <w:rFonts w:ascii="Arial Narrow" w:hAnsi="Arial Narrow"/>
          <w:sz w:val="22"/>
          <w:szCs w:val="22"/>
        </w:rPr>
        <w:t>t fue de 136,757</w:t>
      </w:r>
      <w:r w:rsidRPr="00E55E3E">
        <w:rPr>
          <w:rFonts w:ascii="Arial Narrow" w:hAnsi="Arial Narrow"/>
          <w:sz w:val="22"/>
          <w:szCs w:val="22"/>
        </w:rPr>
        <w:t>, teniendo durante este año el comportamiento que se aprecia en la gráfica siguiente:</w:t>
      </w:r>
    </w:p>
    <w:p w:rsidR="00B83815" w:rsidRDefault="00B83815" w:rsidP="00B83815">
      <w:pPr>
        <w:pStyle w:val="Sangradetextonormal"/>
        <w:ind w:firstLine="720"/>
        <w:rPr>
          <w:rFonts w:ascii="Arial Narrow" w:hAnsi="Arial Narrow"/>
          <w:sz w:val="25"/>
        </w:rPr>
      </w:pPr>
    </w:p>
    <w:p w:rsidR="00B83815" w:rsidRPr="00992D26" w:rsidRDefault="007856AA" w:rsidP="00B83815">
      <w:pPr>
        <w:pStyle w:val="Sangradetextonormal"/>
        <w:ind w:firstLine="720"/>
        <w:rPr>
          <w:rFonts w:ascii="Arial Narrow" w:hAnsi="Arial Narrow"/>
          <w:sz w:val="25"/>
        </w:rPr>
      </w:pPr>
      <w:r>
        <w:rPr>
          <w:rFonts w:ascii="Arial Narrow" w:hAnsi="Arial Narrow"/>
          <w:noProof/>
          <w:sz w:val="25"/>
        </w:rPr>
        <w:pict>
          <v:shape id="_x0000_s1185" type="#_x0000_t75" style="position:absolute;left:0;text-align:left;margin-left:16.2pt;margin-top:8.8pt;width:418.2pt;height:227.45pt;z-index:251871232;mso-position-horizontal-relative:text;mso-position-vertical-relative:text">
            <v:imagedata r:id="rId16" o:title=""/>
          </v:shape>
          <o:OLEObject Type="Embed" ProgID="Excel.Sheet.12" ShapeID="_x0000_s1185" DrawAspect="Content" ObjectID="_1586853569" r:id="rId17"/>
        </w:pict>
      </w: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left="708" w:firstLine="360"/>
        <w:jc w:val="left"/>
        <w:rPr>
          <w:rFonts w:ascii="Arial Narrow" w:hAnsi="Arial Narrow"/>
          <w:bCs/>
          <w:sz w:val="16"/>
          <w:szCs w:val="16"/>
        </w:rPr>
      </w:pPr>
    </w:p>
    <w:p w:rsidR="00B83815" w:rsidRPr="00992D26" w:rsidRDefault="00B83815" w:rsidP="00B83815">
      <w:pPr>
        <w:pStyle w:val="Sangradetextonormal"/>
        <w:ind w:left="708" w:firstLine="360"/>
        <w:jc w:val="left"/>
        <w:rPr>
          <w:rFonts w:ascii="Arial Narrow" w:hAnsi="Arial Narrow"/>
          <w:bCs/>
          <w:sz w:val="16"/>
          <w:szCs w:val="16"/>
        </w:rPr>
      </w:pPr>
    </w:p>
    <w:p w:rsidR="00B83815" w:rsidRDefault="00B83815" w:rsidP="00B83815">
      <w:pPr>
        <w:pStyle w:val="Sangradetextonormal"/>
        <w:ind w:left="708" w:firstLine="360"/>
        <w:jc w:val="left"/>
        <w:rPr>
          <w:rFonts w:ascii="Arial Narrow" w:hAnsi="Arial Narrow"/>
          <w:bCs/>
          <w:sz w:val="16"/>
          <w:szCs w:val="16"/>
        </w:rPr>
      </w:pPr>
    </w:p>
    <w:p w:rsidR="00B83815" w:rsidRPr="00352CE6" w:rsidRDefault="009108FC" w:rsidP="009108FC">
      <w:pPr>
        <w:pStyle w:val="Sangradetextonormal"/>
        <w:ind w:firstLine="0"/>
        <w:rPr>
          <w:rFonts w:ascii="Arial Narrow" w:hAnsi="Arial Narrow"/>
          <w:bCs/>
          <w:sz w:val="20"/>
        </w:rPr>
      </w:pPr>
      <w:r>
        <w:rPr>
          <w:rFonts w:ascii="Arial Narrow" w:hAnsi="Arial Narrow"/>
          <w:bCs/>
          <w:sz w:val="20"/>
        </w:rPr>
        <w:t xml:space="preserve">         </w:t>
      </w:r>
      <w:r w:rsidR="00B83815">
        <w:rPr>
          <w:rFonts w:ascii="Arial Narrow" w:hAnsi="Arial Narrow"/>
          <w:bCs/>
          <w:sz w:val="20"/>
        </w:rPr>
        <w:t>Fuente: Secretaría del Trabajo y Previsión Social</w:t>
      </w:r>
    </w:p>
    <w:p w:rsidR="00B83815" w:rsidRDefault="00B83815" w:rsidP="00B83815">
      <w:pPr>
        <w:pStyle w:val="Sangradetextonormal"/>
        <w:ind w:left="708" w:firstLine="360"/>
        <w:jc w:val="left"/>
        <w:rPr>
          <w:rFonts w:ascii="Arial Narrow" w:hAnsi="Arial Narrow"/>
          <w:bCs/>
          <w:sz w:val="16"/>
          <w:szCs w:val="16"/>
        </w:rPr>
      </w:pPr>
    </w:p>
    <w:p w:rsidR="00B83815" w:rsidRDefault="00B83815" w:rsidP="00B83815">
      <w:pPr>
        <w:pStyle w:val="Sangradetextonormal"/>
        <w:ind w:left="708" w:firstLine="360"/>
        <w:jc w:val="left"/>
        <w:rPr>
          <w:rFonts w:ascii="Arial Narrow" w:hAnsi="Arial Narrow"/>
          <w:bCs/>
          <w:sz w:val="16"/>
          <w:szCs w:val="16"/>
        </w:rPr>
      </w:pPr>
    </w:p>
    <w:p w:rsidR="00B83815" w:rsidRDefault="00B83815" w:rsidP="00B83815">
      <w:pPr>
        <w:pStyle w:val="Sangradetextonormal"/>
        <w:ind w:left="708" w:firstLine="360"/>
        <w:jc w:val="left"/>
        <w:rPr>
          <w:rFonts w:ascii="Arial Narrow" w:hAnsi="Arial Narrow"/>
          <w:bCs/>
          <w:sz w:val="16"/>
          <w:szCs w:val="16"/>
        </w:rPr>
      </w:pPr>
    </w:p>
    <w:p w:rsidR="00B83815" w:rsidRDefault="00B83815" w:rsidP="00B83815">
      <w:pPr>
        <w:pStyle w:val="Sangradetextonormal"/>
        <w:ind w:left="708" w:firstLine="360"/>
        <w:jc w:val="left"/>
        <w:rPr>
          <w:rFonts w:ascii="Arial Narrow" w:hAnsi="Arial Narrow"/>
          <w:bCs/>
          <w:sz w:val="16"/>
          <w:szCs w:val="16"/>
        </w:rPr>
      </w:pPr>
    </w:p>
    <w:p w:rsidR="003D7F9C" w:rsidRDefault="003D7F9C" w:rsidP="00B83815">
      <w:pPr>
        <w:pStyle w:val="Sangradetextonormal"/>
        <w:ind w:left="708" w:firstLine="360"/>
        <w:jc w:val="left"/>
        <w:rPr>
          <w:rFonts w:ascii="Arial Narrow" w:hAnsi="Arial Narrow"/>
          <w:bCs/>
          <w:sz w:val="16"/>
          <w:szCs w:val="16"/>
        </w:rPr>
      </w:pPr>
    </w:p>
    <w:p w:rsidR="003D7F9C" w:rsidRDefault="003D7F9C" w:rsidP="00B83815">
      <w:pPr>
        <w:pStyle w:val="Sangradetextonormal"/>
        <w:ind w:left="708" w:firstLine="360"/>
        <w:jc w:val="left"/>
        <w:rPr>
          <w:rFonts w:ascii="Arial Narrow" w:hAnsi="Arial Narrow"/>
          <w:bCs/>
          <w:sz w:val="16"/>
          <w:szCs w:val="16"/>
        </w:rPr>
      </w:pPr>
    </w:p>
    <w:p w:rsidR="003D7F9C" w:rsidRDefault="003D7F9C" w:rsidP="00B83815">
      <w:pPr>
        <w:pStyle w:val="Sangradetextonormal"/>
        <w:ind w:left="708" w:firstLine="360"/>
        <w:jc w:val="left"/>
        <w:rPr>
          <w:rFonts w:ascii="Arial Narrow" w:hAnsi="Arial Narrow"/>
          <w:bCs/>
          <w:sz w:val="16"/>
          <w:szCs w:val="16"/>
        </w:rPr>
      </w:pPr>
    </w:p>
    <w:p w:rsidR="003D7F9C" w:rsidRDefault="003D7F9C" w:rsidP="00B83815">
      <w:pPr>
        <w:pStyle w:val="Sangradetextonormal"/>
        <w:ind w:left="708" w:firstLine="360"/>
        <w:jc w:val="left"/>
        <w:rPr>
          <w:rFonts w:ascii="Arial Narrow" w:hAnsi="Arial Narrow"/>
          <w:bCs/>
          <w:sz w:val="16"/>
          <w:szCs w:val="16"/>
        </w:rPr>
      </w:pPr>
    </w:p>
    <w:p w:rsidR="003D7F9C" w:rsidRDefault="003D7F9C" w:rsidP="00B83815">
      <w:pPr>
        <w:pStyle w:val="Sangradetextonormal"/>
        <w:ind w:left="708" w:firstLine="360"/>
        <w:jc w:val="left"/>
        <w:rPr>
          <w:rFonts w:ascii="Arial Narrow" w:hAnsi="Arial Narrow"/>
          <w:bCs/>
          <w:sz w:val="16"/>
          <w:szCs w:val="16"/>
        </w:rPr>
      </w:pPr>
    </w:p>
    <w:p w:rsidR="003D7F9C" w:rsidRPr="00992D26" w:rsidRDefault="003D7F9C" w:rsidP="00B83815">
      <w:pPr>
        <w:pStyle w:val="Sangradetextonormal"/>
        <w:ind w:left="708" w:firstLine="360"/>
        <w:jc w:val="left"/>
        <w:rPr>
          <w:rFonts w:ascii="Arial Narrow" w:hAnsi="Arial Narrow"/>
          <w:bCs/>
          <w:sz w:val="16"/>
          <w:szCs w:val="16"/>
        </w:rPr>
      </w:pPr>
    </w:p>
    <w:p w:rsidR="00B83815" w:rsidRPr="00E55E3E" w:rsidRDefault="00B83815" w:rsidP="00B83815">
      <w:pPr>
        <w:pStyle w:val="Sangradetextonormal"/>
        <w:numPr>
          <w:ilvl w:val="0"/>
          <w:numId w:val="9"/>
        </w:numPr>
        <w:jc w:val="left"/>
        <w:rPr>
          <w:rFonts w:ascii="Arial Narrow" w:hAnsi="Arial Narrow"/>
          <w:b/>
          <w:bCs/>
          <w:szCs w:val="28"/>
        </w:rPr>
      </w:pPr>
      <w:r w:rsidRPr="00E55E3E">
        <w:rPr>
          <w:rFonts w:ascii="Arial Narrow" w:hAnsi="Arial Narrow"/>
          <w:b/>
          <w:bCs/>
          <w:szCs w:val="28"/>
        </w:rPr>
        <w:lastRenderedPageBreak/>
        <w:t>Inflación</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E55E3E" w:rsidRDefault="003B5D70" w:rsidP="00B83815">
      <w:pPr>
        <w:pStyle w:val="Sangradetextonormal"/>
        <w:ind w:firstLine="720"/>
        <w:rPr>
          <w:rFonts w:ascii="Arial Narrow" w:hAnsi="Arial Narrow"/>
          <w:sz w:val="22"/>
          <w:szCs w:val="22"/>
        </w:rPr>
      </w:pPr>
      <w:r>
        <w:rPr>
          <w:rFonts w:ascii="Arial Narrow" w:hAnsi="Arial Narrow"/>
          <w:sz w:val="22"/>
          <w:szCs w:val="22"/>
        </w:rPr>
        <w:t>En diciembre de 2017</w:t>
      </w:r>
      <w:r w:rsidR="00B83815" w:rsidRPr="00E55E3E">
        <w:rPr>
          <w:rFonts w:ascii="Arial Narrow" w:hAnsi="Arial Narrow"/>
          <w:sz w:val="22"/>
          <w:szCs w:val="22"/>
        </w:rPr>
        <w:t xml:space="preserve"> el Índice Nacional de Precios al Consumidor (INPC) en la ciudad de Tepic, capital del Estado de Nayarit</w:t>
      </w:r>
      <w:r>
        <w:rPr>
          <w:rFonts w:ascii="Arial Narrow" w:hAnsi="Arial Narrow"/>
          <w:sz w:val="22"/>
          <w:szCs w:val="22"/>
        </w:rPr>
        <w:t>, registró un incremento de 0.42</w:t>
      </w:r>
      <w:r w:rsidR="00B83815" w:rsidRPr="00E55E3E">
        <w:rPr>
          <w:rFonts w:ascii="Arial Narrow" w:hAnsi="Arial Narrow"/>
          <w:sz w:val="22"/>
          <w:szCs w:val="22"/>
        </w:rPr>
        <w:t xml:space="preserve"> por ciento. De esta forma</w:t>
      </w:r>
      <w:r w:rsidR="00B063C1">
        <w:rPr>
          <w:rFonts w:ascii="Arial Narrow" w:hAnsi="Arial Narrow"/>
          <w:sz w:val="22"/>
          <w:szCs w:val="22"/>
        </w:rPr>
        <w:t>,</w:t>
      </w:r>
      <w:r w:rsidR="00B83815" w:rsidRPr="00E55E3E">
        <w:rPr>
          <w:rFonts w:ascii="Arial Narrow" w:hAnsi="Arial Narrow"/>
          <w:sz w:val="22"/>
          <w:szCs w:val="22"/>
        </w:rPr>
        <w:t xml:space="preserve"> la tasa de inflación </w:t>
      </w:r>
      <w:r>
        <w:rPr>
          <w:rFonts w:ascii="Arial Narrow" w:hAnsi="Arial Narrow"/>
          <w:sz w:val="22"/>
          <w:szCs w:val="22"/>
        </w:rPr>
        <w:t>anual se situó en 5.52</w:t>
      </w:r>
      <w:r w:rsidR="00B83815" w:rsidRPr="00E55E3E">
        <w:rPr>
          <w:rFonts w:ascii="Arial Narrow" w:hAnsi="Arial Narrow"/>
          <w:sz w:val="22"/>
          <w:szCs w:val="22"/>
        </w:rPr>
        <w:t xml:space="preserve"> por ciento, mient</w:t>
      </w:r>
      <w:r>
        <w:rPr>
          <w:rFonts w:ascii="Arial Narrow" w:hAnsi="Arial Narrow"/>
          <w:sz w:val="22"/>
          <w:szCs w:val="22"/>
        </w:rPr>
        <w:t>ras que en el último mes de 2016</w:t>
      </w:r>
      <w:r w:rsidR="00B83815" w:rsidRPr="00E55E3E">
        <w:rPr>
          <w:rFonts w:ascii="Arial Narrow" w:hAnsi="Arial Narrow"/>
          <w:sz w:val="22"/>
          <w:szCs w:val="22"/>
        </w:rPr>
        <w:t xml:space="preserve"> </w:t>
      </w:r>
      <w:r>
        <w:rPr>
          <w:rFonts w:ascii="Arial Narrow" w:hAnsi="Arial Narrow"/>
          <w:sz w:val="22"/>
          <w:szCs w:val="22"/>
        </w:rPr>
        <w:t>la inflación se ubicó en 3.46</w:t>
      </w:r>
      <w:r w:rsidR="00B83815" w:rsidRPr="00E55E3E">
        <w:rPr>
          <w:rFonts w:ascii="Arial Narrow" w:hAnsi="Arial Narrow"/>
          <w:sz w:val="22"/>
          <w:szCs w:val="22"/>
        </w:rPr>
        <w:t xml:space="preserve"> por ciento.</w:t>
      </w:r>
    </w:p>
    <w:p w:rsidR="00B83815" w:rsidRPr="00992D26" w:rsidRDefault="00B83815" w:rsidP="00B83815">
      <w:pPr>
        <w:pStyle w:val="Sangradetextonormal"/>
        <w:ind w:firstLine="876"/>
        <w:rPr>
          <w:rFonts w:ascii="Arial Narrow" w:hAnsi="Arial Narrow"/>
          <w:sz w:val="25"/>
        </w:rPr>
      </w:pPr>
    </w:p>
    <w:p w:rsidR="00B83815" w:rsidRPr="00E55E3E" w:rsidRDefault="00B83815" w:rsidP="00B83815">
      <w:pPr>
        <w:pStyle w:val="Sangradetextonormal"/>
        <w:ind w:firstLine="0"/>
        <w:jc w:val="left"/>
        <w:rPr>
          <w:rFonts w:ascii="Arial Narrow" w:hAnsi="Arial Narrow"/>
          <w:b/>
          <w:bCs/>
          <w:szCs w:val="28"/>
        </w:rPr>
      </w:pPr>
      <w:r w:rsidRPr="00E55E3E">
        <w:rPr>
          <w:rFonts w:ascii="Arial Narrow" w:hAnsi="Arial Narrow"/>
          <w:b/>
          <w:bCs/>
          <w:szCs w:val="28"/>
        </w:rPr>
        <w:t>2.1.2.3.- Postura Fiscal</w:t>
      </w:r>
    </w:p>
    <w:p w:rsidR="00B83815" w:rsidRPr="00992D26" w:rsidRDefault="00B83815" w:rsidP="00B83815">
      <w:pPr>
        <w:pStyle w:val="Sangradetextonormal"/>
        <w:spacing w:line="240" w:lineRule="exact"/>
        <w:ind w:left="539" w:firstLine="0"/>
        <w:jc w:val="left"/>
        <w:rPr>
          <w:rFonts w:ascii="Arial Narrow" w:hAnsi="Arial Narrow"/>
          <w:b/>
          <w:bCs/>
          <w:sz w:val="32"/>
          <w:szCs w:val="32"/>
        </w:rPr>
      </w:pPr>
    </w:p>
    <w:p w:rsidR="00B83815" w:rsidRPr="00992D26" w:rsidRDefault="00B83815" w:rsidP="00B83815">
      <w:pPr>
        <w:pStyle w:val="Sangradetextonormal"/>
        <w:spacing w:line="240" w:lineRule="exact"/>
        <w:ind w:left="539" w:firstLine="0"/>
        <w:jc w:val="left"/>
        <w:rPr>
          <w:rFonts w:ascii="Arial Narrow" w:hAnsi="Arial Narrow"/>
          <w:b/>
          <w:bCs/>
          <w:sz w:val="32"/>
          <w:szCs w:val="32"/>
        </w:rPr>
      </w:pPr>
    </w:p>
    <w:p w:rsidR="00B83815"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En la Iniciativa de Ley de Ingresos y Proyecto de Presupuesto de Egres</w:t>
      </w:r>
      <w:r w:rsidR="002726C8">
        <w:rPr>
          <w:rFonts w:ascii="Arial Narrow" w:hAnsi="Arial Narrow"/>
          <w:sz w:val="22"/>
          <w:szCs w:val="22"/>
        </w:rPr>
        <w:t>os para el Ejercicio Fiscal 2017</w:t>
      </w:r>
      <w:r w:rsidR="00632A34">
        <w:rPr>
          <w:rFonts w:ascii="Arial Narrow" w:hAnsi="Arial Narrow"/>
          <w:sz w:val="22"/>
          <w:szCs w:val="22"/>
        </w:rPr>
        <w:t xml:space="preserve">,  </w:t>
      </w:r>
      <w:r w:rsidR="00F3254F">
        <w:rPr>
          <w:rFonts w:ascii="Arial Narrow" w:hAnsi="Arial Narrow"/>
          <w:sz w:val="22"/>
          <w:szCs w:val="22"/>
        </w:rPr>
        <w:t>presentado</w:t>
      </w:r>
      <w:r w:rsidRPr="00E55E3E">
        <w:rPr>
          <w:rFonts w:ascii="Arial Narrow" w:hAnsi="Arial Narrow"/>
          <w:sz w:val="22"/>
          <w:szCs w:val="22"/>
        </w:rPr>
        <w:t>s por el Poder Ejecutivo al H. Congreso del Estado se enfatizó que para este año se inte</w:t>
      </w:r>
      <w:r>
        <w:rPr>
          <w:rFonts w:ascii="Arial Narrow" w:hAnsi="Arial Narrow"/>
          <w:sz w:val="22"/>
          <w:szCs w:val="22"/>
        </w:rPr>
        <w:t xml:space="preserve">gró un paquete económico que dará continuidad </w:t>
      </w:r>
      <w:r w:rsidRPr="00E55E3E">
        <w:rPr>
          <w:rFonts w:ascii="Arial Narrow" w:hAnsi="Arial Narrow"/>
          <w:sz w:val="22"/>
          <w:szCs w:val="22"/>
        </w:rPr>
        <w:t>a</w:t>
      </w:r>
      <w:r>
        <w:rPr>
          <w:rFonts w:ascii="Arial Narrow" w:hAnsi="Arial Narrow"/>
          <w:sz w:val="22"/>
          <w:szCs w:val="22"/>
        </w:rPr>
        <w:t xml:space="preserve"> la</w:t>
      </w:r>
      <w:r w:rsidRPr="00E55E3E">
        <w:rPr>
          <w:rFonts w:ascii="Arial Narrow" w:hAnsi="Arial Narrow"/>
          <w:sz w:val="22"/>
          <w:szCs w:val="22"/>
        </w:rPr>
        <w:t xml:space="preserve"> estrategia de alcance multianual de las finanzas públicas con el fin de forjar el rumbo de los proyectos y programas en el mediano y largo plazo.</w:t>
      </w:r>
    </w:p>
    <w:p w:rsidR="007416C7" w:rsidRDefault="007416C7" w:rsidP="00B83815">
      <w:pPr>
        <w:pStyle w:val="Sangradetextonormal"/>
        <w:ind w:firstLine="720"/>
        <w:rPr>
          <w:rFonts w:ascii="Arial Narrow" w:hAnsi="Arial Narrow"/>
          <w:sz w:val="22"/>
          <w:szCs w:val="22"/>
        </w:rPr>
      </w:pPr>
    </w:p>
    <w:p w:rsidR="007416C7" w:rsidRPr="00E55E3E" w:rsidRDefault="007416C7" w:rsidP="00B83815">
      <w:pPr>
        <w:pStyle w:val="Sangradetextonormal"/>
        <w:ind w:firstLine="720"/>
        <w:rPr>
          <w:rFonts w:ascii="Arial Narrow" w:hAnsi="Arial Narrow"/>
          <w:sz w:val="22"/>
          <w:szCs w:val="22"/>
        </w:rPr>
      </w:pPr>
      <w:r>
        <w:rPr>
          <w:rFonts w:ascii="Arial Narrow" w:hAnsi="Arial Narrow"/>
          <w:sz w:val="22"/>
          <w:szCs w:val="22"/>
        </w:rPr>
        <w:t>Por el lado de los ingresos, se pretende la consolidación de la recaudación estatal, buscando ampliar la base gravable y el universo de contribuyentes, así como implementar una serie de facilidades administrativas y estímulos fiscales para tal efecto, mientras que en materia de egresos se establecieron políticas de prudencia, austeridad y de estricta racionalidad en el ejercicio del gasto público.</w:t>
      </w:r>
    </w:p>
    <w:p w:rsidR="00B83815" w:rsidRDefault="00B83815" w:rsidP="00B83815">
      <w:pPr>
        <w:pStyle w:val="Sangradetextonormal"/>
        <w:ind w:left="540" w:firstLine="0"/>
        <w:jc w:val="left"/>
        <w:rPr>
          <w:rFonts w:ascii="Arial Narrow" w:hAnsi="Arial Narrow"/>
          <w:b/>
          <w:bCs/>
          <w:sz w:val="32"/>
          <w:szCs w:val="32"/>
        </w:rPr>
      </w:pPr>
    </w:p>
    <w:p w:rsidR="00B83815" w:rsidRPr="00E55E3E" w:rsidRDefault="00B83815" w:rsidP="00B83815">
      <w:pPr>
        <w:pStyle w:val="Sangradetextonormal"/>
        <w:numPr>
          <w:ilvl w:val="0"/>
          <w:numId w:val="10"/>
        </w:numPr>
        <w:jc w:val="left"/>
        <w:rPr>
          <w:rFonts w:ascii="Arial Narrow" w:hAnsi="Arial Narrow"/>
          <w:b/>
          <w:bCs/>
          <w:szCs w:val="28"/>
        </w:rPr>
      </w:pPr>
      <w:r w:rsidRPr="00E55E3E">
        <w:rPr>
          <w:rFonts w:ascii="Arial Narrow" w:hAnsi="Arial Narrow"/>
          <w:b/>
          <w:bCs/>
          <w:szCs w:val="28"/>
        </w:rPr>
        <w:t>Política Fiscal</w:t>
      </w:r>
    </w:p>
    <w:p w:rsidR="00B83815" w:rsidRPr="00992D26" w:rsidRDefault="00B83815" w:rsidP="00B83815">
      <w:pPr>
        <w:pStyle w:val="Sangradetextonormal"/>
        <w:spacing w:line="240" w:lineRule="exact"/>
        <w:ind w:left="709" w:firstLine="0"/>
        <w:jc w:val="left"/>
        <w:rPr>
          <w:rFonts w:ascii="Arial Narrow" w:hAnsi="Arial Narrow"/>
          <w:b/>
          <w:bCs/>
          <w:sz w:val="32"/>
          <w:szCs w:val="32"/>
        </w:rPr>
      </w:pPr>
    </w:p>
    <w:p w:rsidR="00B83815" w:rsidRPr="00992D26" w:rsidRDefault="00B83815" w:rsidP="00B83815">
      <w:pPr>
        <w:pStyle w:val="Sangradetextonormal"/>
        <w:spacing w:line="240" w:lineRule="exact"/>
        <w:ind w:left="709" w:firstLine="0"/>
        <w:jc w:val="left"/>
        <w:rPr>
          <w:rFonts w:ascii="Arial Narrow" w:hAnsi="Arial Narrow"/>
          <w:b/>
          <w:bCs/>
          <w:sz w:val="32"/>
          <w:szCs w:val="32"/>
        </w:rPr>
      </w:pPr>
    </w:p>
    <w:p w:rsidR="00B83815" w:rsidRPr="00E55E3E" w:rsidRDefault="00B83815" w:rsidP="009D7920">
      <w:pPr>
        <w:pStyle w:val="Sangradetextonormal"/>
        <w:ind w:firstLine="708"/>
        <w:rPr>
          <w:rFonts w:ascii="Arial Narrow" w:hAnsi="Arial Narrow"/>
          <w:sz w:val="22"/>
          <w:szCs w:val="22"/>
        </w:rPr>
      </w:pPr>
      <w:r w:rsidRPr="00E55E3E">
        <w:rPr>
          <w:rFonts w:ascii="Arial Narrow" w:hAnsi="Arial Narrow"/>
          <w:sz w:val="22"/>
          <w:szCs w:val="22"/>
        </w:rPr>
        <w:t>En el</w:t>
      </w:r>
      <w:r w:rsidR="005C3EB4">
        <w:rPr>
          <w:rFonts w:ascii="Arial Narrow" w:hAnsi="Arial Narrow"/>
          <w:sz w:val="22"/>
          <w:szCs w:val="22"/>
        </w:rPr>
        <w:t xml:space="preserve"> paquete fiscal para el año 2017</w:t>
      </w:r>
      <w:r w:rsidRPr="00E55E3E">
        <w:rPr>
          <w:rFonts w:ascii="Arial Narrow" w:hAnsi="Arial Narrow"/>
          <w:sz w:val="22"/>
          <w:szCs w:val="22"/>
        </w:rPr>
        <w:t xml:space="preserve"> se enfatizó que quedó formulado con estricto apego a criterios de disciplina y responsabilidad en la materia, sustentado</w:t>
      </w:r>
      <w:r w:rsidR="009D7920">
        <w:rPr>
          <w:rFonts w:ascii="Arial Narrow" w:hAnsi="Arial Narrow"/>
          <w:sz w:val="22"/>
          <w:szCs w:val="22"/>
        </w:rPr>
        <w:t xml:space="preserve"> en </w:t>
      </w:r>
      <w:r w:rsidR="009D7920" w:rsidRPr="009D7920">
        <w:rPr>
          <w:rFonts w:ascii="Arial Narrow" w:hAnsi="Arial Narrow"/>
          <w:sz w:val="22"/>
          <w:szCs w:val="22"/>
        </w:rPr>
        <w:t>un entorno externo adverso, que se caracteriza por una alta volatilidad en los</w:t>
      </w:r>
      <w:r w:rsidR="009D7920">
        <w:rPr>
          <w:rFonts w:ascii="Arial Narrow" w:hAnsi="Arial Narrow"/>
          <w:sz w:val="22"/>
          <w:szCs w:val="22"/>
        </w:rPr>
        <w:t xml:space="preserve"> </w:t>
      </w:r>
      <w:r w:rsidR="009D7920" w:rsidRPr="009D7920">
        <w:rPr>
          <w:rFonts w:ascii="Arial Narrow" w:hAnsi="Arial Narrow"/>
          <w:sz w:val="22"/>
          <w:szCs w:val="22"/>
        </w:rPr>
        <w:t>mercados financieros globales, un crecimiento negativo de la producción</w:t>
      </w:r>
      <w:r w:rsidR="009D7920">
        <w:rPr>
          <w:rFonts w:ascii="Arial Narrow" w:hAnsi="Arial Narrow"/>
          <w:sz w:val="22"/>
          <w:szCs w:val="22"/>
        </w:rPr>
        <w:t xml:space="preserve"> </w:t>
      </w:r>
      <w:r w:rsidR="009D7920" w:rsidRPr="009D7920">
        <w:rPr>
          <w:rFonts w:ascii="Arial Narrow" w:hAnsi="Arial Narrow"/>
          <w:sz w:val="22"/>
          <w:szCs w:val="22"/>
        </w:rPr>
        <w:t>industrial en los Estados Unidos de América, bajos precios del petróleo y la</w:t>
      </w:r>
      <w:r w:rsidR="009D7920">
        <w:rPr>
          <w:rFonts w:ascii="Arial Narrow" w:hAnsi="Arial Narrow"/>
          <w:sz w:val="22"/>
          <w:szCs w:val="22"/>
        </w:rPr>
        <w:t xml:space="preserve"> </w:t>
      </w:r>
      <w:r w:rsidR="009D7920" w:rsidRPr="009D7920">
        <w:rPr>
          <w:rFonts w:ascii="Arial Narrow" w:hAnsi="Arial Narrow"/>
          <w:sz w:val="22"/>
          <w:szCs w:val="22"/>
        </w:rPr>
        <w:t>mayor probabilidad de políticas proteccionistas en el mundo</w:t>
      </w:r>
      <w:r w:rsidRPr="00E55E3E">
        <w:rPr>
          <w:rFonts w:ascii="Arial Narrow" w:hAnsi="Arial Narrow"/>
          <w:sz w:val="22"/>
          <w:szCs w:val="22"/>
        </w:rPr>
        <w:t>, por lo que los principales objetivos, estrategias y metas de la Polít</w:t>
      </w:r>
      <w:r w:rsidR="009D7920">
        <w:rPr>
          <w:rFonts w:ascii="Arial Narrow" w:hAnsi="Arial Narrow"/>
          <w:sz w:val="22"/>
          <w:szCs w:val="22"/>
        </w:rPr>
        <w:t>ica Fiscal fijados por la</w:t>
      </w:r>
      <w:r w:rsidRPr="00E55E3E">
        <w:rPr>
          <w:rFonts w:ascii="Arial Narrow" w:hAnsi="Arial Narrow"/>
          <w:sz w:val="22"/>
          <w:szCs w:val="22"/>
        </w:rPr>
        <w:t xml:space="preserve"> administración</w:t>
      </w:r>
      <w:r>
        <w:rPr>
          <w:rFonts w:ascii="Arial Narrow" w:hAnsi="Arial Narrow"/>
          <w:sz w:val="22"/>
          <w:szCs w:val="22"/>
        </w:rPr>
        <w:t xml:space="preserve"> estatal</w:t>
      </w:r>
      <w:r w:rsidRPr="00E55E3E">
        <w:rPr>
          <w:rFonts w:ascii="Arial Narrow" w:hAnsi="Arial Narrow"/>
          <w:sz w:val="22"/>
          <w:szCs w:val="22"/>
        </w:rPr>
        <w:t xml:space="preserve">, se presentan en el siguiente esquema: </w:t>
      </w:r>
    </w:p>
    <w:p w:rsidR="00B83815" w:rsidRPr="00992D26" w:rsidRDefault="00B83815" w:rsidP="00B83815">
      <w:pPr>
        <w:pStyle w:val="Texto"/>
        <w:spacing w:line="225" w:lineRule="exact"/>
        <w:ind w:firstLine="0"/>
        <w:jc w:val="center"/>
        <w:outlineLvl w:val="0"/>
        <w:rPr>
          <w:rFonts w:ascii="Arial Narrow" w:hAnsi="Arial Narrow"/>
          <w:b/>
          <w:sz w:val="20"/>
          <w:szCs w:val="20"/>
        </w:rPr>
      </w:pPr>
    </w:p>
    <w:p w:rsidR="00B83815" w:rsidRPr="00992D26" w:rsidRDefault="00B83815" w:rsidP="00B83815">
      <w:pPr>
        <w:pStyle w:val="Texto"/>
        <w:spacing w:line="225" w:lineRule="exact"/>
        <w:ind w:firstLine="0"/>
        <w:jc w:val="center"/>
        <w:outlineLvl w:val="0"/>
        <w:rPr>
          <w:rFonts w:ascii="Arial Narrow" w:hAnsi="Arial Narrow"/>
          <w:b/>
          <w:sz w:val="20"/>
          <w:szCs w:val="20"/>
        </w:rPr>
      </w:pPr>
      <w:r w:rsidRPr="00992D26">
        <w:rPr>
          <w:rFonts w:ascii="Arial Narrow" w:hAnsi="Arial Narrow"/>
          <w:b/>
          <w:sz w:val="20"/>
          <w:szCs w:val="20"/>
        </w:rPr>
        <w:t>POLÍTICA FISCAL</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trHeight w:val="195"/>
          <w:jc w:val="center"/>
        </w:trPr>
        <w:tc>
          <w:tcPr>
            <w:tcW w:w="9639" w:type="dxa"/>
            <w:tcBorders>
              <w:top w:val="single" w:sz="18" w:space="0" w:color="000000"/>
              <w:bottom w:val="single" w:sz="6" w:space="0" w:color="000000"/>
            </w:tcBorders>
            <w:noWrap/>
          </w:tcPr>
          <w:p w:rsidR="00B83815" w:rsidRPr="00992D26" w:rsidRDefault="00B83815" w:rsidP="00934835">
            <w:pPr>
              <w:pStyle w:val="Texto"/>
              <w:spacing w:line="225" w:lineRule="exact"/>
              <w:ind w:firstLine="0"/>
              <w:rPr>
                <w:rFonts w:ascii="Arial Narrow" w:hAnsi="Arial Narrow"/>
              </w:rPr>
            </w:pPr>
            <w:r w:rsidRPr="00992D26">
              <w:rPr>
                <w:rFonts w:ascii="Arial Narrow" w:hAnsi="Arial Narrow"/>
                <w:b/>
              </w:rPr>
              <w:t>OBJETIVOS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Mejora y Modernización de la Gestión del Gobierno Estatal que redunde en ahorros significativos desde el primer año de gobierno y a lo largo del sexenio.</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Reencauzamiento de recursos para el incremento del gasto de inversión pública en sectores que requieren atención inmediata como son</w:t>
            </w:r>
            <w:r w:rsidR="00F3254F">
              <w:rPr>
                <w:rFonts w:ascii="Arial Narrow" w:hAnsi="Arial Narrow"/>
              </w:rPr>
              <w:t>:</w:t>
            </w:r>
            <w:r w:rsidRPr="00992D26">
              <w:rPr>
                <w:rFonts w:ascii="Arial Narrow" w:hAnsi="Arial Narrow"/>
              </w:rPr>
              <w:t xml:space="preserve"> el campo, la rehabilitación de caminos, los concernientes a la salud de la población y principalmente a la seguridad pública.</w:t>
            </w:r>
          </w:p>
        </w:tc>
      </w:tr>
      <w:tr w:rsidR="00B83815" w:rsidRPr="00992D26" w:rsidTr="00934835">
        <w:trPr>
          <w:cantSplit/>
          <w:trHeight w:val="195"/>
          <w:jc w:val="center"/>
        </w:trPr>
        <w:tc>
          <w:tcPr>
            <w:tcW w:w="9639" w:type="dxa"/>
            <w:tcBorders>
              <w:top w:val="single" w:sz="6" w:space="0" w:color="000000"/>
              <w:bottom w:val="single" w:sz="6"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ESTRATEGIAS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Alcance multianual de las finanzas públicas.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Reconducción presupuestal.</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Implementación de medidas de austeridad sin dañar las funciones del Estado.</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Implementación de medidas y programas para fortalecer la recaudación de los ingresos propios, sin menoscabar la economía de los nayaritas.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Evolucionar y diversificar las fuentes de financiamiento, mediante una actitud dinámica, proactiva y con visión de futuro, dejando atrás la actitud pasiva de solo esperar la llegada de las participaciones federales.</w:t>
            </w:r>
          </w:p>
        </w:tc>
      </w:tr>
      <w:tr w:rsidR="00B83815" w:rsidRPr="00992D26" w:rsidTr="00934835">
        <w:trPr>
          <w:cantSplit/>
          <w:trHeight w:val="195"/>
          <w:jc w:val="center"/>
        </w:trPr>
        <w:tc>
          <w:tcPr>
            <w:tcW w:w="9639" w:type="dxa"/>
            <w:tcBorders>
              <w:top w:val="single" w:sz="6" w:space="0" w:color="000000"/>
              <w:bottom w:val="single" w:sz="18"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METAS</w:t>
            </w:r>
          </w:p>
          <w:p w:rsidR="00B83815" w:rsidRPr="00992D26" w:rsidRDefault="00B83815" w:rsidP="00934835">
            <w:pPr>
              <w:pStyle w:val="Texto"/>
              <w:tabs>
                <w:tab w:val="left" w:pos="4363"/>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Recuperación y saneamiento de las Finanzas de la Entidad para contar con una estructura de pasivos más favorable para la Hacienda Pública.</w:t>
            </w:r>
          </w:p>
          <w:p w:rsidR="00B83815" w:rsidRPr="00992D26" w:rsidRDefault="00B83815" w:rsidP="00934835">
            <w:pPr>
              <w:pStyle w:val="Texto"/>
              <w:tabs>
                <w:tab w:val="left" w:pos="4363"/>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Crecimiento económico del Estado.</w:t>
            </w:r>
          </w:p>
          <w:p w:rsidR="00B83815" w:rsidRPr="00992D26" w:rsidRDefault="00B83815" w:rsidP="00934835">
            <w:pPr>
              <w:pStyle w:val="Texto"/>
              <w:tabs>
                <w:tab w:val="left" w:pos="4363"/>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 xml:space="preserve">Generación de empleos. </w:t>
            </w:r>
          </w:p>
          <w:p w:rsidR="00B83815" w:rsidRPr="00992D26" w:rsidRDefault="00B83815" w:rsidP="00934835">
            <w:pPr>
              <w:pStyle w:val="Texto"/>
              <w:tabs>
                <w:tab w:val="left" w:pos="4363"/>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Reactivación de la economía local.</w:t>
            </w:r>
          </w:p>
          <w:p w:rsidR="00B83815" w:rsidRPr="00992D26" w:rsidRDefault="00B83815" w:rsidP="00934835">
            <w:pPr>
              <w:pStyle w:val="Texto"/>
              <w:tabs>
                <w:tab w:val="left" w:pos="4371"/>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Atención integral en favor de la gente, a través de diversos programas productivos y sociales que mejoren las condiciones de vida de quien los recibe.</w:t>
            </w:r>
          </w:p>
        </w:tc>
      </w:tr>
      <w:tr w:rsidR="00B83815" w:rsidRPr="00992D26" w:rsidTr="00934835">
        <w:trPr>
          <w:cantSplit/>
          <w:trHeight w:val="195"/>
          <w:jc w:val="center"/>
        </w:trPr>
        <w:tc>
          <w:tcPr>
            <w:tcW w:w="9639" w:type="dxa"/>
            <w:tcBorders>
              <w:top w:val="single" w:sz="18" w:space="0" w:color="000000"/>
            </w:tcBorders>
          </w:tcPr>
          <w:p w:rsidR="00B83815" w:rsidRPr="00992D26" w:rsidRDefault="00B83815" w:rsidP="00934835">
            <w:pPr>
              <w:pStyle w:val="Sangradetextonormal"/>
              <w:ind w:left="540" w:firstLine="0"/>
              <w:jc w:val="left"/>
              <w:rPr>
                <w:rFonts w:ascii="Arial Narrow" w:hAnsi="Arial Narrow" w:cs="Arial"/>
                <w:b/>
                <w:bCs/>
                <w:sz w:val="16"/>
                <w:szCs w:val="16"/>
              </w:rPr>
            </w:pPr>
          </w:p>
          <w:p w:rsidR="00B83815" w:rsidRPr="00992D26" w:rsidRDefault="00B83815" w:rsidP="0093483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Estatal de Desarrollo de Nayarit 2011 - 2017</w:t>
            </w:r>
          </w:p>
          <w:p w:rsidR="00B83815" w:rsidRPr="00992D26" w:rsidRDefault="00B83815" w:rsidP="0093483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5C3EB4">
              <w:rPr>
                <w:rFonts w:ascii="Arial Narrow" w:hAnsi="Arial Narrow" w:cs="Arial"/>
                <w:bCs/>
                <w:sz w:val="16"/>
                <w:szCs w:val="16"/>
              </w:rPr>
              <w:t>Paquete Fiscal 2017</w:t>
            </w:r>
          </w:p>
          <w:p w:rsidR="00B83815" w:rsidRPr="00992D26" w:rsidRDefault="00B83815" w:rsidP="00934835">
            <w:pPr>
              <w:pStyle w:val="Texto"/>
              <w:spacing w:line="225" w:lineRule="exact"/>
              <w:ind w:firstLine="0"/>
              <w:rPr>
                <w:rFonts w:ascii="Arial Narrow" w:hAnsi="Arial Narrow"/>
              </w:rPr>
            </w:pPr>
          </w:p>
          <w:p w:rsidR="00B83815" w:rsidRPr="00992D26" w:rsidRDefault="00B83815" w:rsidP="00934835">
            <w:pPr>
              <w:pStyle w:val="Texto"/>
              <w:spacing w:line="225" w:lineRule="exact"/>
              <w:ind w:firstLine="0"/>
              <w:rPr>
                <w:rFonts w:ascii="Arial Narrow" w:hAnsi="Arial Narrow"/>
              </w:rPr>
            </w:pPr>
          </w:p>
        </w:tc>
      </w:tr>
    </w:tbl>
    <w:p w:rsidR="00B83815" w:rsidRPr="00E55E3E" w:rsidRDefault="00B83815" w:rsidP="00B83815">
      <w:pPr>
        <w:pStyle w:val="Sangradetextonormal"/>
        <w:numPr>
          <w:ilvl w:val="0"/>
          <w:numId w:val="10"/>
        </w:numPr>
        <w:jc w:val="left"/>
        <w:rPr>
          <w:rFonts w:ascii="Arial Narrow" w:hAnsi="Arial Narrow"/>
          <w:b/>
          <w:bCs/>
          <w:szCs w:val="28"/>
        </w:rPr>
      </w:pPr>
      <w:r w:rsidRPr="00E55E3E">
        <w:rPr>
          <w:rFonts w:ascii="Arial Narrow" w:hAnsi="Arial Narrow"/>
          <w:b/>
          <w:bCs/>
          <w:szCs w:val="28"/>
        </w:rPr>
        <w:t>Líneas de Acción</w:t>
      </w:r>
    </w:p>
    <w:p w:rsidR="00B83815" w:rsidRPr="00992D26" w:rsidRDefault="00B83815" w:rsidP="00B83815">
      <w:pPr>
        <w:pStyle w:val="Sangradetextonormal"/>
        <w:spacing w:line="240" w:lineRule="auto"/>
        <w:ind w:left="709"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rPr>
      </w:pPr>
      <w:r w:rsidRPr="00E55E3E">
        <w:rPr>
          <w:rFonts w:ascii="Arial Narrow" w:hAnsi="Arial Narrow"/>
          <w:sz w:val="22"/>
          <w:szCs w:val="22"/>
        </w:rPr>
        <w:t xml:space="preserve">Considerando que la finalidad que persigue el Gobierno siempre debe ser el incremento de la cantidad y calidad de los bienes y servicios públicos, la reducción del gasto administrativo y operacional, buscando en </w:t>
      </w:r>
      <w:r w:rsidRPr="00E55E3E">
        <w:rPr>
          <w:rFonts w:ascii="Arial Narrow" w:hAnsi="Arial Narrow"/>
          <w:sz w:val="22"/>
          <w:szCs w:val="22"/>
        </w:rPr>
        <w:lastRenderedPageBreak/>
        <w:t>todo momento el bienestar de la sociedad, a continuación se enuncian las líneas de acción del Poder Ejecutivo en materia de finanzas públicas:</w:t>
      </w:r>
    </w:p>
    <w:p w:rsidR="00B83815" w:rsidRPr="00E55E3E" w:rsidRDefault="00B83815" w:rsidP="00B83815">
      <w:pPr>
        <w:pStyle w:val="Sangradetextonormal"/>
        <w:ind w:firstLine="708"/>
        <w:rPr>
          <w:rFonts w:ascii="Arial Narrow" w:hAnsi="Arial Narrow"/>
          <w:sz w:val="22"/>
          <w:szCs w:val="22"/>
        </w:rPr>
      </w:pPr>
    </w:p>
    <w:p w:rsidR="00B83815" w:rsidRPr="00992D26" w:rsidRDefault="00B83815" w:rsidP="00B83815">
      <w:pPr>
        <w:pStyle w:val="Texto"/>
        <w:spacing w:line="225" w:lineRule="exact"/>
        <w:ind w:firstLine="0"/>
        <w:jc w:val="center"/>
        <w:outlineLvl w:val="0"/>
        <w:rPr>
          <w:rFonts w:ascii="Arial Narrow" w:hAnsi="Arial Narrow"/>
          <w:b/>
        </w:rPr>
      </w:pPr>
      <w:r w:rsidRPr="00992D26">
        <w:rPr>
          <w:rFonts w:ascii="Arial Narrow" w:hAnsi="Arial Narrow"/>
          <w:b/>
          <w:sz w:val="20"/>
          <w:szCs w:val="20"/>
        </w:rPr>
        <w:t>LÍNEAS DE ACCIÓN</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trHeight w:val="195"/>
          <w:jc w:val="center"/>
        </w:trPr>
        <w:tc>
          <w:tcPr>
            <w:tcW w:w="8712" w:type="dxa"/>
            <w:tcBorders>
              <w:top w:val="single" w:sz="18" w:space="0" w:color="000000"/>
              <w:bottom w:val="single" w:sz="6" w:space="0" w:color="000000"/>
            </w:tcBorders>
            <w:noWrap/>
          </w:tcPr>
          <w:p w:rsidR="00B83815" w:rsidRPr="00992D26" w:rsidRDefault="00B83815" w:rsidP="00934835">
            <w:pPr>
              <w:pStyle w:val="Texto"/>
              <w:spacing w:line="225" w:lineRule="exact"/>
              <w:ind w:firstLine="0"/>
              <w:rPr>
                <w:rFonts w:ascii="Arial Narrow" w:hAnsi="Arial Narrow"/>
              </w:rPr>
            </w:pPr>
            <w:r w:rsidRPr="00992D26">
              <w:rPr>
                <w:rFonts w:ascii="Arial Narrow" w:hAnsi="Arial Narrow"/>
                <w:b/>
              </w:rPr>
              <w:t>INGRESOS</w:t>
            </w:r>
          </w:p>
          <w:p w:rsidR="00B83815"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C840F7">
              <w:rPr>
                <w:rFonts w:ascii="Arial Narrow" w:hAnsi="Arial Narrow"/>
              </w:rPr>
              <w:t>Consolidación de la recaudación estatal.</w:t>
            </w:r>
          </w:p>
          <w:p w:rsidR="00C840F7" w:rsidRPr="00992D26" w:rsidRDefault="00C840F7" w:rsidP="00C840F7">
            <w:pPr>
              <w:pStyle w:val="Texto"/>
              <w:spacing w:line="225" w:lineRule="exact"/>
              <w:ind w:left="703" w:hanging="360"/>
              <w:rPr>
                <w:rFonts w:ascii="Arial Narrow" w:hAnsi="Arial Narrow"/>
              </w:rPr>
            </w:pPr>
            <w:r>
              <w:rPr>
                <w:rFonts w:ascii="Arial Narrow" w:hAnsi="Arial Narrow"/>
              </w:rPr>
              <w:t>●</w:t>
            </w:r>
            <w:r>
              <w:rPr>
                <w:rFonts w:ascii="Arial Narrow" w:hAnsi="Arial Narrow"/>
              </w:rPr>
              <w:tab/>
              <w:t>Ampliar la base gravable y el universo de contribuyentes.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Depuración de padrones.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Facilitación en el pago de impuestos.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Mantener el factor de actualización anual en base a su incremento indexado al del Salario Mínimo.</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Modificar algunos conceptos de Derechos y ajustar sus costos a la oferta del mercado, en virtud de que el Estado no recupera el costo que implica la prestación de diversos servicios.</w:t>
            </w:r>
          </w:p>
        </w:tc>
      </w:tr>
      <w:tr w:rsidR="00B83815" w:rsidRPr="00992D26" w:rsidTr="00934835">
        <w:trPr>
          <w:cantSplit/>
          <w:trHeight w:val="195"/>
          <w:jc w:val="center"/>
        </w:trPr>
        <w:tc>
          <w:tcPr>
            <w:tcW w:w="8712" w:type="dxa"/>
            <w:tcBorders>
              <w:top w:val="single" w:sz="6" w:space="0" w:color="000000"/>
              <w:bottom w:val="single" w:sz="18"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GASTO</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Política de austeridad en la contratación de bienes y servicios, así como en el gasto de operación de las dependencias y entidades paraestatales.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Reconducción relevante de los  recursos hacia la inversión pública, el campo, la salud, la seguridad pública y el desarrollo social en general.</w:t>
            </w:r>
          </w:p>
        </w:tc>
      </w:tr>
    </w:tbl>
    <w:p w:rsidR="00B83815" w:rsidRPr="00992D26" w:rsidRDefault="00B83815" w:rsidP="00B83815">
      <w:pPr>
        <w:pStyle w:val="Sangradetextonormal"/>
        <w:ind w:left="540" w:firstLine="0"/>
        <w:jc w:val="left"/>
        <w:rPr>
          <w:rFonts w:ascii="Arial Narrow" w:hAnsi="Arial Narrow" w:cs="Arial"/>
          <w:b/>
          <w:bCs/>
          <w:sz w:val="16"/>
          <w:szCs w:val="16"/>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Estatal de Desarrollo de Nayarit 2011 - 2017</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5C3EB4">
        <w:rPr>
          <w:rFonts w:ascii="Arial Narrow" w:hAnsi="Arial Narrow" w:cs="Arial"/>
          <w:bCs/>
          <w:sz w:val="16"/>
          <w:szCs w:val="16"/>
        </w:rPr>
        <w:t>Paquete Fiscal 2017</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spacing w:line="240" w:lineRule="exact"/>
        <w:ind w:left="709" w:firstLine="0"/>
        <w:jc w:val="left"/>
        <w:rPr>
          <w:rFonts w:ascii="Arial Narrow" w:hAnsi="Arial Narrow"/>
          <w:b/>
          <w:bCs/>
          <w:sz w:val="32"/>
          <w:szCs w:val="32"/>
        </w:rPr>
      </w:pPr>
    </w:p>
    <w:p w:rsidR="00B83815" w:rsidRPr="00F35C79" w:rsidRDefault="00B83815" w:rsidP="00B83815">
      <w:pPr>
        <w:pStyle w:val="Sangradetextonormal"/>
        <w:ind w:firstLine="0"/>
        <w:jc w:val="left"/>
        <w:rPr>
          <w:rFonts w:ascii="Arial Narrow" w:hAnsi="Arial Narrow"/>
          <w:b/>
          <w:bCs/>
          <w:szCs w:val="28"/>
        </w:rPr>
      </w:pPr>
      <w:r w:rsidRPr="00F35C79">
        <w:rPr>
          <w:rFonts w:ascii="Arial Narrow" w:hAnsi="Arial Narrow"/>
          <w:b/>
          <w:bCs/>
          <w:szCs w:val="28"/>
        </w:rPr>
        <w:t>2.1.2.4.- Resultados obtenidos</w:t>
      </w:r>
    </w:p>
    <w:p w:rsidR="00B83815" w:rsidRPr="00F35C79" w:rsidRDefault="00B83815" w:rsidP="00B83815">
      <w:pPr>
        <w:pStyle w:val="Sangradetextonormal"/>
        <w:spacing w:line="240" w:lineRule="exact"/>
        <w:ind w:left="709" w:firstLine="0"/>
        <w:jc w:val="left"/>
        <w:rPr>
          <w:rFonts w:ascii="Arial Narrow" w:hAnsi="Arial Narrow"/>
          <w:b/>
          <w:bCs/>
          <w:sz w:val="32"/>
          <w:szCs w:val="32"/>
        </w:rPr>
      </w:pPr>
    </w:p>
    <w:p w:rsidR="00B83815" w:rsidRPr="00F35C79" w:rsidRDefault="00B83815" w:rsidP="00B83815">
      <w:pPr>
        <w:pStyle w:val="Sangradetextonormal"/>
        <w:spacing w:line="240" w:lineRule="exact"/>
        <w:ind w:left="709"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 xml:space="preserve">En esta sección se destacan los resultados alcanzados en la gestión financiera emprendida durante el </w:t>
      </w:r>
      <w:r w:rsidR="008C467B">
        <w:rPr>
          <w:rFonts w:ascii="Arial Narrow" w:hAnsi="Arial Narrow"/>
          <w:sz w:val="22"/>
          <w:szCs w:val="22"/>
        </w:rPr>
        <w:t>Ejercicio Fiscal 2017</w:t>
      </w:r>
      <w:r w:rsidRPr="00F35C79">
        <w:rPr>
          <w:rFonts w:ascii="Arial Narrow" w:hAnsi="Arial Narrow"/>
          <w:sz w:val="22"/>
          <w:szCs w:val="22"/>
        </w:rPr>
        <w:t xml:space="preserve"> derivado de la puesta en práctica de los objetivos, estrategias y metas de la política fiscal establecidos para el periodo que nos ocupa.</w:t>
      </w:r>
    </w:p>
    <w:p w:rsidR="00B83815" w:rsidRPr="00F35C79" w:rsidRDefault="00B83815" w:rsidP="00B83815">
      <w:pPr>
        <w:pStyle w:val="Sangradetextonormal"/>
        <w:ind w:firstLine="708"/>
        <w:rPr>
          <w:rFonts w:ascii="Arial Narrow" w:hAnsi="Arial Narrow"/>
          <w:sz w:val="22"/>
          <w:szCs w:val="22"/>
        </w:rPr>
      </w:pPr>
    </w:p>
    <w:p w:rsidR="00B83815" w:rsidRPr="00A143DE"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En cumplimiento a lo dispuesto en el Capítulo VII del Manual de Contabilidad Gubernamental, en la página siguiente se presenta el cuadro denominado Indicadores de Postura Fiscal.</w:t>
      </w:r>
    </w:p>
    <w:p w:rsidR="00B83815" w:rsidRPr="00992D26" w:rsidRDefault="00B83815" w:rsidP="00B83815">
      <w:pPr>
        <w:pStyle w:val="Sangradetextonormal"/>
        <w:ind w:firstLine="708"/>
        <w:rPr>
          <w:rFonts w:ascii="Arial Narrow" w:hAnsi="Arial Narrow"/>
          <w:b/>
          <w:bCs/>
          <w:sz w:val="32"/>
          <w:szCs w:val="32"/>
        </w:rPr>
      </w:pPr>
    </w:p>
    <w:p w:rsidR="00B83815" w:rsidRPr="00992D26" w:rsidRDefault="007856AA" w:rsidP="00B83815">
      <w:pPr>
        <w:pStyle w:val="Sangradetextonormal"/>
        <w:ind w:left="708" w:firstLine="0"/>
        <w:jc w:val="left"/>
        <w:rPr>
          <w:rFonts w:ascii="Arial Narrow" w:hAnsi="Arial Narrow"/>
          <w:b/>
          <w:bCs/>
          <w:sz w:val="32"/>
          <w:szCs w:val="32"/>
        </w:rPr>
      </w:pPr>
      <w:r>
        <w:rPr>
          <w:rFonts w:ascii="Arial Narrow" w:hAnsi="Arial Narrow"/>
          <w:b/>
          <w:bCs/>
          <w:noProof/>
          <w:sz w:val="32"/>
          <w:szCs w:val="32"/>
        </w:rPr>
        <w:lastRenderedPageBreak/>
        <w:pict>
          <v:shape id="_x0000_s1238" type="#_x0000_t75" style="position:absolute;left:0;text-align:left;margin-left:3.35pt;margin-top:-2.2pt;width:446.4pt;height:346pt;z-index:251959296;mso-position-horizontal-relative:text;mso-position-vertical-relative:text">
            <v:imagedata r:id="rId18" o:title=""/>
          </v:shape>
          <o:OLEObject Type="Link" ProgID="Excel.Sheet.8" ShapeID="_x0000_s1238" DrawAspect="Content" r:id="rId19" UpdateMode="Always">
            <o:LinkType>EnhancedMetaFile</o:LinkType>
            <o:LockedField>false</o:LockedField>
          </o:OLEObject>
        </w:pic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 xml:space="preserve">1 </w:t>
      </w:r>
      <w:r w:rsidRPr="00934835">
        <w:rPr>
          <w:rFonts w:ascii="Arial Narrow" w:hAnsi="Arial Narrow"/>
          <w:bCs/>
          <w:sz w:val="14"/>
          <w:szCs w:val="14"/>
        </w:rPr>
        <w:t>Los Ingresos que se presentan son los ingresos presupuestarios totales sin incluir los ingresos por financiamientos. Los Ingresos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Autónomos. Los ingresos del Sector Paraestatal no consideran los importes por Transferencias, Asignaciones, Subsidios y Otras Ayudas recibidas del Poder Ejecutivo del Estado.</w:t>
      </w: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2</w:t>
      </w:r>
      <w:r>
        <w:rPr>
          <w:rFonts w:ascii="Arial Narrow" w:hAnsi="Arial Narrow"/>
          <w:bCs/>
          <w:sz w:val="14"/>
          <w:szCs w:val="14"/>
        </w:rPr>
        <w:t xml:space="preserve"> </w:t>
      </w:r>
      <w:r w:rsidRPr="00934835">
        <w:rPr>
          <w:rFonts w:ascii="Arial Narrow" w:hAnsi="Arial Narrow"/>
          <w:bCs/>
          <w:sz w:val="14"/>
          <w:szCs w:val="14"/>
        </w:rPr>
        <w:t>Los egresos que se presentan son los egresos presupuestarios totales sin incluir los egresos por amortización. Los egresos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w:t>
      </w:r>
      <w:r w:rsidR="00B1643A">
        <w:rPr>
          <w:rFonts w:ascii="Arial Narrow" w:hAnsi="Arial Narrow"/>
          <w:bCs/>
          <w:sz w:val="14"/>
          <w:szCs w:val="14"/>
        </w:rPr>
        <w:t xml:space="preserve">omos, sin considerar </w:t>
      </w:r>
      <w:r w:rsidRPr="00934835">
        <w:rPr>
          <w:rFonts w:ascii="Arial Narrow" w:hAnsi="Arial Narrow"/>
          <w:bCs/>
          <w:sz w:val="14"/>
          <w:szCs w:val="14"/>
        </w:rPr>
        <w:t>las Transferencias, Asignaciones, Subsidios y Otras Ayudas realizadas al Sector Paraestatal del Estado.</w:t>
      </w:r>
      <w:r>
        <w:rPr>
          <w:rFonts w:ascii="Arial Narrow" w:hAnsi="Arial Narrow"/>
          <w:bCs/>
          <w:sz w:val="14"/>
          <w:szCs w:val="14"/>
        </w:rPr>
        <w:t xml:space="preserve"> </w:t>
      </w: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3</w:t>
      </w:r>
      <w:r>
        <w:rPr>
          <w:rFonts w:ascii="Arial Narrow" w:hAnsi="Arial Narrow"/>
          <w:bCs/>
          <w:sz w:val="14"/>
          <w:szCs w:val="14"/>
        </w:rPr>
        <w:t xml:space="preserve"> </w:t>
      </w:r>
      <w:r w:rsidRPr="00934835">
        <w:rPr>
          <w:rFonts w:ascii="Arial Narrow" w:hAnsi="Arial Narrow"/>
          <w:bCs/>
          <w:sz w:val="14"/>
          <w:szCs w:val="14"/>
        </w:rPr>
        <w:t>Para Ingresos se reportan los ingresos recaudados; para egresos se reportan los egresos pagados.</w:t>
      </w:r>
    </w:p>
    <w:p w:rsidR="00B83815" w:rsidRPr="00934835" w:rsidRDefault="00934835" w:rsidP="00934835">
      <w:pPr>
        <w:pStyle w:val="Sangradetextonormal"/>
        <w:ind w:left="708" w:firstLine="0"/>
        <w:rPr>
          <w:rFonts w:ascii="Arial Narrow" w:hAnsi="Arial Narrow"/>
          <w:bCs/>
          <w:sz w:val="14"/>
          <w:szCs w:val="14"/>
        </w:rPr>
      </w:pPr>
      <w:r w:rsidRPr="00934835">
        <w:rPr>
          <w:rFonts w:ascii="Arial Narrow" w:hAnsi="Arial Narrow"/>
          <w:bCs/>
          <w:sz w:val="14"/>
          <w:szCs w:val="14"/>
        </w:rPr>
        <w:tab/>
      </w:r>
      <w:r w:rsidRPr="00934835">
        <w:rPr>
          <w:rFonts w:ascii="Arial Narrow" w:hAnsi="Arial Narrow"/>
          <w:bCs/>
          <w:sz w:val="14"/>
          <w:szCs w:val="14"/>
        </w:rPr>
        <w:tab/>
      </w:r>
      <w:r w:rsidRPr="00934835">
        <w:rPr>
          <w:rFonts w:ascii="Arial Narrow" w:hAnsi="Arial Narrow"/>
          <w:bCs/>
          <w:sz w:val="14"/>
          <w:szCs w:val="14"/>
        </w:rPr>
        <w:tab/>
      </w: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b/>
          <w:bCs/>
          <w:sz w:val="22"/>
          <w:szCs w:val="22"/>
        </w:rPr>
      </w:pPr>
      <w:r w:rsidRPr="00F35C79">
        <w:rPr>
          <w:rFonts w:ascii="Arial Narrow" w:hAnsi="Arial Narrow"/>
          <w:sz w:val="22"/>
          <w:szCs w:val="22"/>
        </w:rPr>
        <w:lastRenderedPageBreak/>
        <w:t xml:space="preserve">Con base en las cifras arrojadas por el cuadro anterior, a continuación se comentan los resultados generales de las finanzas públicas del Gobierno del Estado de Nayarit tomando como referencia los principales Indicadores de Postura Fiscal determinados en dicho cuadro:  </w:t>
      </w:r>
    </w:p>
    <w:p w:rsidR="00B83815" w:rsidRPr="00F35C79" w:rsidRDefault="00B83815" w:rsidP="00B83815">
      <w:pPr>
        <w:pStyle w:val="Sangradetextonormal"/>
        <w:ind w:left="709" w:firstLine="0"/>
        <w:jc w:val="left"/>
        <w:rPr>
          <w:rFonts w:ascii="Arial Narrow" w:hAnsi="Arial Narrow"/>
          <w:b/>
          <w:bCs/>
          <w:sz w:val="32"/>
          <w:szCs w:val="32"/>
        </w:rPr>
      </w:pPr>
    </w:p>
    <w:p w:rsidR="00B83815" w:rsidRPr="00F35C79" w:rsidRDefault="00B83815" w:rsidP="00B83815">
      <w:pPr>
        <w:pStyle w:val="Sangradetextonormal"/>
        <w:numPr>
          <w:ilvl w:val="0"/>
          <w:numId w:val="12"/>
        </w:numPr>
        <w:jc w:val="left"/>
        <w:rPr>
          <w:rFonts w:ascii="Arial Narrow" w:hAnsi="Arial Narrow"/>
          <w:b/>
          <w:bCs/>
          <w:szCs w:val="28"/>
        </w:rPr>
      </w:pPr>
      <w:r w:rsidRPr="00F35C79">
        <w:rPr>
          <w:rFonts w:ascii="Arial Narrow" w:hAnsi="Arial Narrow"/>
          <w:b/>
          <w:bCs/>
          <w:szCs w:val="28"/>
        </w:rPr>
        <w:t>Balance Presupuestario</w:t>
      </w:r>
    </w:p>
    <w:p w:rsidR="00B83815" w:rsidRPr="00F35C79" w:rsidRDefault="00B83815" w:rsidP="00B83815">
      <w:pPr>
        <w:pStyle w:val="Sangradetextonormal"/>
        <w:ind w:left="709"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Este concepto se define como la diferencia entre los ingresos totales (corrientes y de capital)  incluidos en la Ley de Ingresos con excepción de los financiamientos y los gastos totales (corrientes y de capital) considerados en el Presupuesto de Egresos, con excepción de la amortización de la deuda.</w:t>
      </w:r>
    </w:p>
    <w:p w:rsidR="00B83815" w:rsidRPr="0020497E" w:rsidRDefault="00B83815" w:rsidP="00B83815">
      <w:pPr>
        <w:pStyle w:val="Sangradetextonormal"/>
        <w:ind w:left="709" w:firstLine="0"/>
        <w:jc w:val="left"/>
        <w:rPr>
          <w:rFonts w:ascii="Arial Narrow" w:hAnsi="Arial Narrow"/>
          <w:b/>
          <w:bCs/>
          <w:sz w:val="22"/>
          <w:szCs w:val="22"/>
          <w:highlight w:val="yellow"/>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 xml:space="preserve">En este caso, el Gobierno del Estado de Nayarit </w:t>
      </w:r>
      <w:r w:rsidR="008C467B">
        <w:rPr>
          <w:rFonts w:ascii="Arial Narrow" w:hAnsi="Arial Narrow"/>
          <w:sz w:val="22"/>
          <w:szCs w:val="22"/>
        </w:rPr>
        <w:t>durante el Ejercicio Fiscal 2017</w:t>
      </w:r>
      <w:r w:rsidRPr="00F35C79">
        <w:rPr>
          <w:rFonts w:ascii="Arial Narrow" w:hAnsi="Arial Narrow"/>
          <w:sz w:val="22"/>
          <w:szCs w:val="22"/>
        </w:rPr>
        <w:t xml:space="preserve"> presentó un superávit</w:t>
      </w:r>
      <w:r w:rsidR="005C4768">
        <w:rPr>
          <w:rFonts w:ascii="Arial Narrow" w:hAnsi="Arial Narrow"/>
          <w:sz w:val="22"/>
          <w:szCs w:val="22"/>
        </w:rPr>
        <w:t xml:space="preserve"> por monto de $ 1,255,395,744.94</w:t>
      </w:r>
      <w:r w:rsidR="00F35C79">
        <w:rPr>
          <w:rFonts w:ascii="Arial Narrow" w:hAnsi="Arial Narrow"/>
          <w:sz w:val="22"/>
          <w:szCs w:val="22"/>
        </w:rPr>
        <w:t xml:space="preserve"> (</w:t>
      </w:r>
      <w:r w:rsidR="005C4768">
        <w:rPr>
          <w:rFonts w:ascii="Arial Narrow" w:hAnsi="Arial Narrow"/>
          <w:sz w:val="22"/>
          <w:szCs w:val="22"/>
        </w:rPr>
        <w:t>un mil doscientos cincuenta y cinco millones trescientos noventa y cinco mil setecientos cuarenta y cuatro pesos 94</w:t>
      </w:r>
      <w:r w:rsidRPr="00F35C79">
        <w:rPr>
          <w:rFonts w:ascii="Arial Narrow" w:hAnsi="Arial Narrow"/>
          <w:sz w:val="22"/>
          <w:szCs w:val="22"/>
        </w:rPr>
        <w:t>/100 m. n.) al comparar el gasto pagado con respecto a los ingresos recaudados en el período que se reporta, según se muestra en la tabla siguiente:</w:t>
      </w:r>
    </w:p>
    <w:p w:rsidR="00B83815" w:rsidRPr="00992D26" w:rsidRDefault="00B83815" w:rsidP="00B83815">
      <w:pPr>
        <w:pStyle w:val="Sangradetextonormal"/>
        <w:rPr>
          <w:rFonts w:ascii="Arial Narrow" w:hAnsi="Arial Narrow"/>
          <w:sz w:val="25"/>
        </w:rPr>
      </w:pPr>
    </w:p>
    <w:p w:rsidR="00B83815" w:rsidRPr="00992D26" w:rsidRDefault="007856AA" w:rsidP="00B83815">
      <w:pPr>
        <w:pStyle w:val="Sangradetextonormal"/>
        <w:rPr>
          <w:rFonts w:ascii="Arial Narrow" w:hAnsi="Arial Narrow"/>
        </w:rPr>
      </w:pPr>
      <w:r>
        <w:rPr>
          <w:rFonts w:ascii="Arial Narrow" w:hAnsi="Arial Narrow"/>
          <w:noProof/>
        </w:rPr>
        <w:pict>
          <v:shape id="_x0000_s1239" type="#_x0000_t75" style="position:absolute;left:0;text-align:left;margin-left:10.1pt;margin-top:10.05pt;width:417pt;height:75.75pt;z-index:251961344;mso-position-horizontal-relative:text;mso-position-vertical-relative:text">
            <v:imagedata r:id="rId20" o:title=""/>
          </v:shape>
          <o:OLEObject Type="Link" ProgID="Excel.Sheet.8" ShapeID="_x0000_s1239" DrawAspect="Content" r:id="rId21" UpdateMode="Always">
            <o:LinkType>EnhancedMetaFile</o:LinkType>
            <o:LockedField>false</o:LockedField>
          </o:OLEObject>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Las cifras relativas a los recursos obtenidos y erogaciones efectuadas, se analizan de manera posterior en los apartados denominados Ingresos Presupuestarios y Gastos Presupuestarios.</w:t>
      </w:r>
    </w:p>
    <w:p w:rsidR="00B83815"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F35C79" w:rsidRDefault="00B83815" w:rsidP="00B83815">
      <w:pPr>
        <w:pStyle w:val="Sangradetextonormal"/>
        <w:numPr>
          <w:ilvl w:val="0"/>
          <w:numId w:val="12"/>
        </w:numPr>
        <w:jc w:val="left"/>
        <w:rPr>
          <w:rFonts w:ascii="Arial Narrow" w:hAnsi="Arial Narrow"/>
          <w:b/>
          <w:bCs/>
          <w:szCs w:val="28"/>
        </w:rPr>
      </w:pPr>
      <w:r w:rsidRPr="00F35C79">
        <w:rPr>
          <w:rFonts w:ascii="Arial Narrow" w:hAnsi="Arial Narrow"/>
          <w:b/>
          <w:bCs/>
          <w:szCs w:val="28"/>
        </w:rPr>
        <w:lastRenderedPageBreak/>
        <w:t xml:space="preserve">Balance Primario </w:t>
      </w:r>
    </w:p>
    <w:p w:rsidR="00B83815" w:rsidRPr="00F35C79" w:rsidRDefault="00B83815" w:rsidP="00B83815">
      <w:pPr>
        <w:pStyle w:val="Sangradetextonormal"/>
        <w:spacing w:line="240" w:lineRule="auto"/>
        <w:jc w:val="left"/>
        <w:rPr>
          <w:rFonts w:ascii="Arial Narrow" w:hAnsi="Arial Narrow"/>
          <w:sz w:val="25"/>
        </w:rPr>
      </w:pPr>
    </w:p>
    <w:p w:rsidR="00B83815" w:rsidRPr="00F35C79" w:rsidRDefault="00B83815" w:rsidP="00B83815">
      <w:pPr>
        <w:pStyle w:val="Sangradetextonormal"/>
        <w:spacing w:line="240" w:lineRule="auto"/>
        <w:jc w:val="left"/>
        <w:rPr>
          <w:rFonts w:ascii="Arial Narrow" w:hAnsi="Arial Narrow"/>
          <w:sz w:val="25"/>
        </w:rPr>
      </w:pPr>
    </w:p>
    <w:p w:rsidR="00B83815" w:rsidRPr="00F35C79" w:rsidRDefault="00B83815" w:rsidP="00B83815">
      <w:pPr>
        <w:pStyle w:val="Sangradetextonormal"/>
        <w:rPr>
          <w:rFonts w:ascii="Arial Narrow" w:hAnsi="Arial Narrow"/>
          <w:sz w:val="22"/>
          <w:szCs w:val="22"/>
        </w:rPr>
      </w:pPr>
      <w:r w:rsidRPr="00F35C79">
        <w:rPr>
          <w:rFonts w:ascii="Arial Narrow" w:hAnsi="Arial Narrow"/>
          <w:sz w:val="22"/>
          <w:szCs w:val="22"/>
        </w:rPr>
        <w:t>Este concepto se define como la diferencia entre los ingresos totales incluidos en la Ley de Ingresos con excepción de los financiamientos y los gastos totales de los entes públicos considerados en el Presupuesto de Egresos, excluyendo de estos últimos, las erogaciones asociadas al costo financiero y a la amortización de la deuda.</w:t>
      </w: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rPr>
          <w:rFonts w:ascii="Arial Narrow" w:hAnsi="Arial Narrow"/>
          <w:sz w:val="22"/>
          <w:szCs w:val="22"/>
        </w:rPr>
      </w:pPr>
      <w:r w:rsidRPr="00F35C79">
        <w:rPr>
          <w:rFonts w:ascii="Arial Narrow" w:hAnsi="Arial Narrow"/>
          <w:sz w:val="22"/>
          <w:szCs w:val="22"/>
        </w:rPr>
        <w:t xml:space="preserve">El balance primario muestra que el Gobierno del Estado de Nayarit </w:t>
      </w:r>
      <w:r w:rsidR="008C467B">
        <w:rPr>
          <w:rFonts w:ascii="Arial Narrow" w:hAnsi="Arial Narrow"/>
          <w:sz w:val="22"/>
          <w:szCs w:val="22"/>
        </w:rPr>
        <w:t>durante el Ejercicio Fiscal 2017</w:t>
      </w:r>
      <w:r w:rsidRPr="00F35C79">
        <w:rPr>
          <w:rFonts w:ascii="Arial Narrow" w:hAnsi="Arial Narrow"/>
          <w:sz w:val="22"/>
          <w:szCs w:val="22"/>
        </w:rPr>
        <w:t xml:space="preserve"> incurrió en un superávit por l</w:t>
      </w:r>
      <w:r w:rsidR="005C4768">
        <w:rPr>
          <w:rFonts w:ascii="Arial Narrow" w:hAnsi="Arial Narrow"/>
          <w:sz w:val="22"/>
          <w:szCs w:val="22"/>
        </w:rPr>
        <w:t>a cantidad de $ 1,688,361,389.04</w:t>
      </w:r>
      <w:r w:rsidRPr="00F35C79">
        <w:rPr>
          <w:rFonts w:ascii="Arial Narrow" w:hAnsi="Arial Narrow"/>
          <w:sz w:val="22"/>
          <w:szCs w:val="22"/>
        </w:rPr>
        <w:t xml:space="preserve"> (</w:t>
      </w:r>
      <w:r w:rsidR="005C4768">
        <w:rPr>
          <w:rFonts w:ascii="Arial Narrow" w:hAnsi="Arial Narrow"/>
          <w:sz w:val="22"/>
          <w:szCs w:val="22"/>
        </w:rPr>
        <w:t>un mil seiscientos ochenta y ocho millones trescientos sesenta y un mil trescientos ochenta y nueve pesos 04</w:t>
      </w:r>
      <w:r w:rsidRPr="00F35C79">
        <w:rPr>
          <w:rFonts w:ascii="Arial Narrow" w:hAnsi="Arial Narrow"/>
          <w:sz w:val="22"/>
          <w:szCs w:val="22"/>
        </w:rPr>
        <w:t>/100 m. n.).</w:t>
      </w: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spacing w:line="240" w:lineRule="exact"/>
        <w:rPr>
          <w:rFonts w:ascii="Arial Narrow" w:hAnsi="Arial Narrow"/>
          <w:sz w:val="22"/>
          <w:szCs w:val="22"/>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Cabe señalar que este indicador mide el excedente o faltante de recursos fina</w:t>
      </w:r>
      <w:r w:rsidR="00F35C79">
        <w:rPr>
          <w:rFonts w:ascii="Arial Narrow" w:hAnsi="Arial Narrow"/>
          <w:sz w:val="22"/>
          <w:szCs w:val="22"/>
        </w:rPr>
        <w:t xml:space="preserve">ncieros en términos monetarios, </w:t>
      </w:r>
      <w:r w:rsidRPr="00F35C79">
        <w:rPr>
          <w:rFonts w:ascii="Arial Narrow" w:hAnsi="Arial Narrow"/>
          <w:sz w:val="22"/>
          <w:szCs w:val="22"/>
        </w:rPr>
        <w:t>y refleja el esfuerzo o relajamiento fiscal en un período determinado, al excluir el servicio de obligaciones adquiridas en el pasado, por lo</w:t>
      </w:r>
      <w:r w:rsidR="00C82E55">
        <w:rPr>
          <w:rFonts w:ascii="Arial Narrow" w:hAnsi="Arial Narrow"/>
          <w:sz w:val="22"/>
          <w:szCs w:val="22"/>
        </w:rPr>
        <w:t xml:space="preserve"> que en el Ejercicio Fiscal 2017</w:t>
      </w:r>
      <w:r w:rsidRPr="00F35C79">
        <w:rPr>
          <w:rFonts w:ascii="Arial Narrow" w:hAnsi="Arial Narrow"/>
          <w:sz w:val="22"/>
          <w:szCs w:val="22"/>
        </w:rPr>
        <w:t xml:space="preserve"> se aprecia esta situación:</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7856AA" w:rsidP="00B83815">
      <w:pPr>
        <w:pStyle w:val="Sangradetextonormal"/>
        <w:rPr>
          <w:rFonts w:ascii="Arial Narrow" w:hAnsi="Arial Narrow"/>
          <w:sz w:val="25"/>
        </w:rPr>
      </w:pPr>
      <w:r>
        <w:rPr>
          <w:rFonts w:ascii="Arial Narrow" w:hAnsi="Arial Narrow"/>
          <w:noProof/>
          <w:sz w:val="25"/>
        </w:rPr>
        <w:pict>
          <v:shape id="_x0000_s1240" type="#_x0000_t75" style="position:absolute;left:0;text-align:left;margin-left:45.35pt;margin-top:4pt;width:351.75pt;height:63pt;z-index:251963392;mso-position-horizontal-relative:text;mso-position-vertical-relative:text">
            <v:imagedata r:id="rId22" o:title=""/>
          </v:shape>
          <o:OLEObject Type="Link" ProgID="Excel.Sheet.8" ShapeID="_x0000_s1240" DrawAspect="Content" r:id="rId23" UpdateMode="Always">
            <o:LinkType>EnhancedMetaFile</o:LinkType>
            <o:LockedField>false</o:LockedField>
          </o:OLEObject>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Default="00B83815"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B83815" w:rsidRPr="00F3254F" w:rsidRDefault="00B83815" w:rsidP="00B83815">
      <w:pPr>
        <w:pStyle w:val="Sangradetextonormal"/>
        <w:numPr>
          <w:ilvl w:val="0"/>
          <w:numId w:val="12"/>
        </w:numPr>
        <w:jc w:val="left"/>
        <w:rPr>
          <w:rFonts w:ascii="Arial Narrow" w:hAnsi="Arial Narrow"/>
          <w:b/>
          <w:bCs/>
          <w:szCs w:val="28"/>
        </w:rPr>
      </w:pPr>
      <w:r w:rsidRPr="00F3254F">
        <w:rPr>
          <w:rFonts w:ascii="Arial Narrow" w:hAnsi="Arial Narrow"/>
          <w:b/>
          <w:bCs/>
          <w:szCs w:val="28"/>
        </w:rPr>
        <w:lastRenderedPageBreak/>
        <w:t>Endeudamiento o Desendeudamiento</w:t>
      </w:r>
    </w:p>
    <w:p w:rsidR="00B83815" w:rsidRPr="00F3254F" w:rsidRDefault="00B83815" w:rsidP="00B83815">
      <w:pPr>
        <w:pStyle w:val="Sangradetextonormal"/>
        <w:spacing w:line="240" w:lineRule="exact"/>
        <w:jc w:val="left"/>
        <w:rPr>
          <w:rFonts w:ascii="Arial Narrow" w:hAnsi="Arial Narrow"/>
          <w:sz w:val="25"/>
        </w:rPr>
      </w:pPr>
    </w:p>
    <w:p w:rsidR="00B83815" w:rsidRDefault="00B83815" w:rsidP="00F54863">
      <w:pPr>
        <w:pStyle w:val="Sangradetextonormal"/>
        <w:rPr>
          <w:rFonts w:ascii="Arial Narrow" w:hAnsi="Arial Narrow"/>
          <w:sz w:val="22"/>
          <w:szCs w:val="22"/>
        </w:rPr>
      </w:pPr>
      <w:r w:rsidRPr="00F3254F">
        <w:rPr>
          <w:rFonts w:ascii="Arial Narrow" w:hAnsi="Arial Narrow"/>
          <w:sz w:val="22"/>
          <w:szCs w:val="22"/>
        </w:rPr>
        <w:t>Este concepto se define como la diferencia entre el uso del financiamiento y las amortizaciones efectuadas de las obligaciones</w:t>
      </w:r>
      <w:r w:rsidR="00F54863">
        <w:rPr>
          <w:rFonts w:ascii="Arial Narrow" w:hAnsi="Arial Narrow"/>
          <w:sz w:val="22"/>
          <w:szCs w:val="22"/>
        </w:rPr>
        <w:t xml:space="preserve"> constitutivas de deuda pública, por lo </w:t>
      </w:r>
      <w:r w:rsidR="008C467B">
        <w:rPr>
          <w:rFonts w:ascii="Arial Narrow" w:hAnsi="Arial Narrow"/>
          <w:sz w:val="22"/>
          <w:szCs w:val="22"/>
        </w:rPr>
        <w:t>que</w:t>
      </w:r>
      <w:r w:rsidR="00F54863">
        <w:rPr>
          <w:rFonts w:ascii="Arial Narrow" w:hAnsi="Arial Narrow"/>
          <w:sz w:val="22"/>
          <w:szCs w:val="22"/>
        </w:rPr>
        <w:t xml:space="preserve"> al analizar los registros del gasto se informa que</w:t>
      </w:r>
      <w:r w:rsidR="008C467B">
        <w:rPr>
          <w:rFonts w:ascii="Arial Narrow" w:hAnsi="Arial Narrow"/>
          <w:sz w:val="22"/>
          <w:szCs w:val="22"/>
        </w:rPr>
        <w:t xml:space="preserve"> en el Ejercicio Fiscal 2017</w:t>
      </w:r>
      <w:r w:rsidRPr="00F3254F">
        <w:rPr>
          <w:rFonts w:ascii="Arial Narrow" w:hAnsi="Arial Narrow"/>
          <w:sz w:val="22"/>
          <w:szCs w:val="22"/>
        </w:rPr>
        <w:t xml:space="preserve"> el Gobierno del Estado de Nayarit reporta un desendeudamiento net</w:t>
      </w:r>
      <w:r w:rsidR="005C4768">
        <w:rPr>
          <w:rFonts w:ascii="Arial Narrow" w:hAnsi="Arial Narrow"/>
          <w:sz w:val="22"/>
          <w:szCs w:val="22"/>
        </w:rPr>
        <w:t>o por importe de $ 85,434,896.73</w:t>
      </w:r>
      <w:r w:rsidRPr="00F3254F">
        <w:rPr>
          <w:rFonts w:ascii="Arial Narrow" w:hAnsi="Arial Narrow"/>
          <w:sz w:val="22"/>
          <w:szCs w:val="22"/>
        </w:rPr>
        <w:t xml:space="preserve"> (</w:t>
      </w:r>
      <w:r w:rsidR="001B6C92">
        <w:rPr>
          <w:rFonts w:ascii="Arial Narrow" w:hAnsi="Arial Narrow"/>
          <w:sz w:val="22"/>
          <w:szCs w:val="22"/>
        </w:rPr>
        <w:t xml:space="preserve">ochenta y </w:t>
      </w:r>
      <w:r w:rsidR="005C4768">
        <w:rPr>
          <w:rFonts w:ascii="Arial Narrow" w:hAnsi="Arial Narrow"/>
          <w:sz w:val="22"/>
          <w:szCs w:val="22"/>
        </w:rPr>
        <w:t>cinco millones cuatrocientos treinta y cuatro mil ochocientos noventa y seis</w:t>
      </w:r>
      <w:r w:rsidR="001B6C92">
        <w:rPr>
          <w:rFonts w:ascii="Arial Narrow" w:hAnsi="Arial Narrow"/>
          <w:sz w:val="22"/>
          <w:szCs w:val="22"/>
        </w:rPr>
        <w:t xml:space="preserve"> pesos 73</w:t>
      </w:r>
      <w:r w:rsidRPr="00F3254F">
        <w:rPr>
          <w:rFonts w:ascii="Arial Narrow" w:hAnsi="Arial Narrow"/>
          <w:sz w:val="22"/>
          <w:szCs w:val="22"/>
        </w:rPr>
        <w:t>/1</w:t>
      </w:r>
      <w:r w:rsidR="00F9253D">
        <w:rPr>
          <w:rFonts w:ascii="Arial Narrow" w:hAnsi="Arial Narrow"/>
          <w:sz w:val="22"/>
          <w:szCs w:val="22"/>
        </w:rPr>
        <w:t>00 m. n.), mismo que se expone</w:t>
      </w:r>
      <w:r w:rsidRPr="00F3254F">
        <w:rPr>
          <w:rFonts w:ascii="Arial Narrow" w:hAnsi="Arial Narrow"/>
          <w:sz w:val="22"/>
          <w:szCs w:val="22"/>
        </w:rPr>
        <w:t xml:space="preserve"> posteriormente en la sección en el que se analiza este indicador dentro del ap</w:t>
      </w:r>
      <w:r w:rsidR="00F54863">
        <w:rPr>
          <w:rFonts w:ascii="Arial Narrow" w:hAnsi="Arial Narrow"/>
          <w:sz w:val="22"/>
          <w:szCs w:val="22"/>
        </w:rPr>
        <w:t>artado denominado Deuda Pública</w:t>
      </w:r>
      <w:r w:rsidR="00F9253D">
        <w:rPr>
          <w:rFonts w:ascii="Arial Narrow" w:hAnsi="Arial Narrow"/>
          <w:sz w:val="22"/>
          <w:szCs w:val="22"/>
        </w:rPr>
        <w:t>, cuyo monto se integra</w:t>
      </w:r>
      <w:r w:rsidR="00F54863">
        <w:rPr>
          <w:rFonts w:ascii="Arial Narrow" w:hAnsi="Arial Narrow"/>
          <w:sz w:val="22"/>
          <w:szCs w:val="22"/>
        </w:rPr>
        <w:t xml:space="preserve"> de la siguiente manera:</w:t>
      </w:r>
    </w:p>
    <w:p w:rsidR="00F54863" w:rsidRDefault="00F54863" w:rsidP="008C109D">
      <w:pPr>
        <w:pStyle w:val="Sangradetextonormal"/>
        <w:spacing w:line="120" w:lineRule="auto"/>
        <w:rPr>
          <w:rFonts w:ascii="Arial Narrow" w:hAnsi="Arial Narrow"/>
          <w:sz w:val="22"/>
          <w:szCs w:val="22"/>
        </w:rPr>
      </w:pPr>
    </w:p>
    <w:p w:rsidR="00F54863" w:rsidRDefault="00F9253D" w:rsidP="00B83815">
      <w:pPr>
        <w:pStyle w:val="Sangradetextonormal"/>
        <w:rPr>
          <w:rFonts w:ascii="Arial Narrow" w:hAnsi="Arial Narrow"/>
          <w:sz w:val="22"/>
          <w:szCs w:val="22"/>
        </w:rPr>
      </w:pPr>
      <w:r>
        <w:rPr>
          <w:rFonts w:ascii="Arial Narrow" w:hAnsi="Arial Narrow"/>
          <w:sz w:val="22"/>
          <w:szCs w:val="22"/>
        </w:rPr>
        <w:t>Disminución del pasivo de</w:t>
      </w:r>
      <w:r w:rsidR="00F54863">
        <w:rPr>
          <w:rFonts w:ascii="Arial Narrow" w:hAnsi="Arial Narrow"/>
          <w:sz w:val="22"/>
          <w:szCs w:val="22"/>
        </w:rPr>
        <w:t xml:space="preserve"> Enero a Diciembre de 2017</w:t>
      </w:r>
      <w:r w:rsidR="00F54863">
        <w:rPr>
          <w:rFonts w:ascii="Arial Narrow" w:hAnsi="Arial Narrow"/>
          <w:sz w:val="22"/>
          <w:szCs w:val="22"/>
        </w:rPr>
        <w:tab/>
        <w:t>$  81</w:t>
      </w:r>
      <w:proofErr w:type="gramStart"/>
      <w:r w:rsidR="00F54863">
        <w:rPr>
          <w:rFonts w:ascii="Arial Narrow" w:hAnsi="Arial Narrow"/>
          <w:sz w:val="22"/>
          <w:szCs w:val="22"/>
        </w:rPr>
        <w:t>,544,227.73</w:t>
      </w:r>
      <w:proofErr w:type="gramEnd"/>
    </w:p>
    <w:p w:rsidR="00F54863" w:rsidRDefault="009B1507" w:rsidP="00B83815">
      <w:pPr>
        <w:pStyle w:val="Sangradetextonormal"/>
        <w:rPr>
          <w:rFonts w:ascii="Arial Narrow" w:hAnsi="Arial Narrow"/>
          <w:sz w:val="22"/>
          <w:szCs w:val="22"/>
        </w:rPr>
      </w:pPr>
      <w:r w:rsidRPr="009B1507">
        <w:rPr>
          <w:rFonts w:ascii="Arial Narrow" w:hAnsi="Arial Narrow"/>
          <w:sz w:val="22"/>
          <w:szCs w:val="22"/>
        </w:rPr>
        <w:t>Erogaciones adicionales con recursos del FAFEF 2017 *</w:t>
      </w:r>
      <w:r w:rsidRPr="009B1507">
        <w:rPr>
          <w:rFonts w:ascii="Arial Narrow" w:hAnsi="Arial Narrow"/>
          <w:sz w:val="22"/>
          <w:szCs w:val="22"/>
        </w:rPr>
        <w:tab/>
      </w:r>
      <w:r w:rsidR="00F54863" w:rsidRPr="009B1507">
        <w:rPr>
          <w:rFonts w:ascii="Arial Narrow" w:hAnsi="Arial Narrow"/>
          <w:sz w:val="22"/>
          <w:szCs w:val="22"/>
          <w:u w:val="single"/>
        </w:rPr>
        <w:t xml:space="preserve">      3</w:t>
      </w:r>
      <w:proofErr w:type="gramStart"/>
      <w:r w:rsidR="00F54863" w:rsidRPr="009B1507">
        <w:rPr>
          <w:rFonts w:ascii="Arial Narrow" w:hAnsi="Arial Narrow"/>
          <w:sz w:val="22"/>
          <w:szCs w:val="22"/>
          <w:u w:val="single"/>
        </w:rPr>
        <w:t>,890,669.00</w:t>
      </w:r>
      <w:proofErr w:type="gramEnd"/>
    </w:p>
    <w:p w:rsidR="00F54863" w:rsidRPr="00DF2957" w:rsidRDefault="00F54863" w:rsidP="00B83815">
      <w:pPr>
        <w:pStyle w:val="Sangradetextonormal"/>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Total: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F54863">
        <w:rPr>
          <w:rFonts w:ascii="Arial Narrow" w:hAnsi="Arial Narrow"/>
          <w:sz w:val="22"/>
          <w:szCs w:val="22"/>
          <w:u w:val="double"/>
        </w:rPr>
        <w:t>$  85</w:t>
      </w:r>
      <w:proofErr w:type="gramStart"/>
      <w:r w:rsidRPr="00F54863">
        <w:rPr>
          <w:rFonts w:ascii="Arial Narrow" w:hAnsi="Arial Narrow"/>
          <w:sz w:val="22"/>
          <w:szCs w:val="22"/>
          <w:u w:val="double"/>
        </w:rPr>
        <w:t>,434,896.73</w:t>
      </w:r>
      <w:proofErr w:type="gramEnd"/>
    </w:p>
    <w:p w:rsidR="00B801BF" w:rsidRDefault="00B801BF" w:rsidP="008C109D">
      <w:pPr>
        <w:pStyle w:val="Sangradetextonormal"/>
        <w:spacing w:line="240" w:lineRule="exact"/>
        <w:ind w:left="709" w:firstLine="0"/>
        <w:rPr>
          <w:rFonts w:ascii="Arial Narrow" w:hAnsi="Arial Narrow"/>
          <w:sz w:val="16"/>
          <w:szCs w:val="16"/>
        </w:rPr>
      </w:pPr>
    </w:p>
    <w:p w:rsidR="00B83815" w:rsidRPr="009B1507" w:rsidRDefault="008C109D" w:rsidP="008C109D">
      <w:pPr>
        <w:pStyle w:val="Sangradetextonormal"/>
        <w:spacing w:line="240" w:lineRule="exact"/>
        <w:ind w:left="709" w:firstLine="0"/>
        <w:rPr>
          <w:rFonts w:ascii="Arial Narrow" w:hAnsi="Arial Narrow"/>
          <w:sz w:val="16"/>
          <w:szCs w:val="16"/>
        </w:rPr>
      </w:pPr>
      <w:r>
        <w:rPr>
          <w:rFonts w:ascii="Arial Narrow" w:hAnsi="Arial Narrow"/>
          <w:sz w:val="16"/>
          <w:szCs w:val="16"/>
        </w:rPr>
        <w:t>*</w:t>
      </w:r>
      <w:r w:rsidR="009B1507" w:rsidRPr="009B1507">
        <w:rPr>
          <w:rFonts w:ascii="Arial Narrow" w:hAnsi="Arial Narrow"/>
          <w:sz w:val="16"/>
          <w:szCs w:val="16"/>
        </w:rPr>
        <w:t>En su mayor cuantía se refiere al registro reali</w:t>
      </w:r>
      <w:r w:rsidR="00142956">
        <w:rPr>
          <w:rFonts w:ascii="Arial Narrow" w:hAnsi="Arial Narrow"/>
          <w:sz w:val="16"/>
          <w:szCs w:val="16"/>
        </w:rPr>
        <w:t>zado en el gasto federalizado en el mes de Diciembre de</w:t>
      </w:r>
      <w:r w:rsidR="009B1507" w:rsidRPr="009B1507">
        <w:rPr>
          <w:rFonts w:ascii="Arial Narrow" w:hAnsi="Arial Narrow"/>
          <w:sz w:val="16"/>
          <w:szCs w:val="16"/>
        </w:rPr>
        <w:t xml:space="preserve"> 2017, cuyas disminuciones en el Pasivo se efectuaron en Enero de 2018, en la fecha que las instituciones bancarias hicieron efectivo el cobro de la amortización de capital.</w:t>
      </w:r>
    </w:p>
    <w:p w:rsidR="009B1507" w:rsidRDefault="009B1507" w:rsidP="00B801BF">
      <w:pPr>
        <w:pStyle w:val="Sangradetextonormal"/>
        <w:spacing w:line="240" w:lineRule="auto"/>
        <w:ind w:left="1066" w:firstLine="0"/>
        <w:jc w:val="center"/>
        <w:rPr>
          <w:rFonts w:ascii="Arial Narrow" w:hAnsi="Arial Narrow"/>
          <w:b/>
          <w:bCs/>
          <w:szCs w:val="28"/>
        </w:rPr>
      </w:pPr>
    </w:p>
    <w:p w:rsidR="00B83815" w:rsidRDefault="00B83815" w:rsidP="00B83815">
      <w:pPr>
        <w:pStyle w:val="Sangradetextonormal"/>
        <w:ind w:left="1068" w:firstLine="0"/>
        <w:jc w:val="center"/>
        <w:rPr>
          <w:rFonts w:ascii="Arial Narrow" w:hAnsi="Arial Narrow"/>
          <w:b/>
          <w:bCs/>
          <w:szCs w:val="28"/>
        </w:rPr>
      </w:pPr>
      <w:r w:rsidRPr="00F35C79">
        <w:rPr>
          <w:rFonts w:ascii="Arial Narrow" w:hAnsi="Arial Narrow"/>
          <w:b/>
          <w:bCs/>
          <w:szCs w:val="28"/>
        </w:rPr>
        <w:t>Resumen General</w:t>
      </w:r>
    </w:p>
    <w:p w:rsidR="008C109D" w:rsidRPr="00F35C79" w:rsidRDefault="008C109D" w:rsidP="008C109D">
      <w:pPr>
        <w:pStyle w:val="Sangradetextonormal"/>
        <w:spacing w:line="120" w:lineRule="auto"/>
        <w:ind w:left="1066" w:firstLine="0"/>
        <w:jc w:val="center"/>
        <w:rPr>
          <w:rFonts w:ascii="Arial Narrow" w:hAnsi="Arial Narrow"/>
          <w:b/>
          <w:bCs/>
          <w:szCs w:val="28"/>
        </w:rPr>
      </w:pPr>
    </w:p>
    <w:p w:rsidR="00B83815" w:rsidRPr="00DF2957"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En el siguiente cuadro se presenta el panorama general de las finanzas públicas estatales, partiendo de la comparación entre los ingresos y gastos presupuestarios totales, excluyendo posteriormente los importes relativos al endeudamiento neto, así como e</w:t>
      </w:r>
      <w:r w:rsidR="001B6C92">
        <w:rPr>
          <w:rFonts w:ascii="Arial Narrow" w:hAnsi="Arial Narrow"/>
          <w:sz w:val="22"/>
          <w:szCs w:val="22"/>
        </w:rPr>
        <w:t xml:space="preserve">l pago de intereses </w:t>
      </w:r>
      <w:r w:rsidRPr="00F35C79">
        <w:rPr>
          <w:rFonts w:ascii="Arial Narrow" w:hAnsi="Arial Narrow"/>
          <w:sz w:val="22"/>
          <w:szCs w:val="22"/>
        </w:rPr>
        <w:t>de la deuda, para obtener finalmente el Balance Primario del Sector Público Presupuestario de N</w:t>
      </w:r>
      <w:r w:rsidR="001B6C92">
        <w:rPr>
          <w:rFonts w:ascii="Arial Narrow" w:hAnsi="Arial Narrow"/>
          <w:sz w:val="22"/>
          <w:szCs w:val="22"/>
        </w:rPr>
        <w:t>ayarit del Ejercicio Fiscal 2017:</w:t>
      </w:r>
    </w:p>
    <w:p w:rsidR="00B83815" w:rsidRPr="00992D26" w:rsidRDefault="007856AA" w:rsidP="00B83815">
      <w:pPr>
        <w:pStyle w:val="Sangradetextonormal"/>
        <w:rPr>
          <w:rFonts w:ascii="Arial Narrow" w:hAnsi="Arial Narrow"/>
          <w:sz w:val="25"/>
        </w:rPr>
      </w:pPr>
      <w:r>
        <w:rPr>
          <w:rFonts w:ascii="Arial Narrow" w:hAnsi="Arial Narrow"/>
          <w:noProof/>
          <w:sz w:val="25"/>
        </w:rPr>
        <w:pict>
          <v:shape id="_x0000_s1244" type="#_x0000_t75" style="position:absolute;left:0;text-align:left;margin-left:.35pt;margin-top:12.3pt;width:449.25pt;height:154.5pt;z-index:251971584;mso-position-horizontal-relative:text;mso-position-vertical-relative:text">
            <v:imagedata r:id="rId24" o:title=""/>
          </v:shape>
          <o:OLEObject Type="Link" ProgID="Excel.Sheet.8" ShapeID="_x0000_s1244" DrawAspect="Content" r:id="rId25" UpdateMode="Always">
            <o:LinkType>EnhancedMetaFile</o:LinkType>
            <o:LockedField>false</o:LockedField>
          </o:OLEObject>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bookmarkStart w:id="4" w:name="_GoBack"/>
      <w:bookmarkEnd w:id="4"/>
    </w:p>
    <w:sectPr w:rsidR="00B83815" w:rsidRPr="00992D26" w:rsidSect="00FB1CC8">
      <w:headerReference w:type="even" r:id="rId26"/>
      <w:headerReference w:type="default" r:id="rId27"/>
      <w:footerReference w:type="even" r:id="rId28"/>
      <w:footerReference w:type="default" r:id="rId29"/>
      <w:headerReference w:type="first" r:id="rId30"/>
      <w:pgSz w:w="12240" w:h="15840" w:code="119"/>
      <w:pgMar w:top="3969" w:right="1259" w:bottom="851" w:left="1985" w:header="720" w:footer="748" w:gutter="0"/>
      <w:pgNumType w:start="6"/>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81B" w:rsidRDefault="007A681B">
      <w:r>
        <w:separator/>
      </w:r>
    </w:p>
  </w:endnote>
  <w:endnote w:type="continuationSeparator" w:id="0">
    <w:p w:rsidR="007A681B" w:rsidRDefault="007A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1E" w:rsidRDefault="00116D1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16D1E" w:rsidRDefault="00116D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1E" w:rsidRDefault="00116D1E">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D53275">
      <w:rPr>
        <w:rStyle w:val="Nmerodepgina"/>
        <w:noProof/>
      </w:rPr>
      <w:t>33</w:t>
    </w:r>
    <w:r>
      <w:rPr>
        <w:rStyle w:val="Nmerodepgina"/>
      </w:rPr>
      <w:fldChar w:fldCharType="end"/>
    </w:r>
  </w:p>
  <w:p w:rsidR="00116D1E" w:rsidRDefault="00116D1E">
    <w:pPr>
      <w:pStyle w:val="Piedepgina"/>
      <w:framePr w:wrap="around" w:vAnchor="text" w:hAnchor="margin" w:xAlign="center" w:y="1"/>
      <w:rPr>
        <w:rStyle w:val="Nmerodepgina"/>
      </w:rPr>
    </w:pPr>
  </w:p>
  <w:p w:rsidR="00116D1E" w:rsidRDefault="00116D1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81B" w:rsidRDefault="007A681B">
      <w:r>
        <w:separator/>
      </w:r>
    </w:p>
  </w:footnote>
  <w:footnote w:type="continuationSeparator" w:id="0">
    <w:p w:rsidR="007A681B" w:rsidRDefault="007A6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1E" w:rsidRDefault="00116D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116D1E" w:rsidRDefault="00116D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1E" w:rsidRDefault="00116D1E">
    <w:pPr>
      <w:pStyle w:val="Encabezado"/>
      <w:framePr w:wrap="around" w:vAnchor="text" w:hAnchor="margin" w:xAlign="right" w:y="1"/>
      <w:rPr>
        <w:rStyle w:val="Nmerodepgina"/>
      </w:rPr>
    </w:pPr>
  </w:p>
  <w:p w:rsidR="00116D1E" w:rsidRDefault="00116D1E">
    <w:pPr>
      <w:pStyle w:val="Encabezado"/>
      <w:framePr w:wrap="around" w:vAnchor="text" w:hAnchor="margin" w:xAlign="center" w:y="1"/>
      <w:ind w:right="360"/>
      <w:rPr>
        <w:rStyle w:val="Nmerodepgina"/>
      </w:rPr>
    </w:pPr>
  </w:p>
  <w:p w:rsidR="00116D1E" w:rsidRDefault="00116D1E">
    <w:pPr>
      <w:pStyle w:val="Encabezado"/>
    </w:pPr>
    <w:r>
      <w:rPr>
        <w:rFonts w:ascii="Gill Sans" w:hAnsi="Gill Sans"/>
        <w:noProof/>
        <w:lang w:val="es-MX" w:eastAsia="es-MX"/>
      </w:rPr>
      <w:drawing>
        <wp:anchor distT="0" distB="0" distL="114300" distR="114300" simplePos="0" relativeHeight="251669504" behindDoc="0" locked="0" layoutInCell="1" allowOverlap="1" wp14:anchorId="5F97398B" wp14:editId="4787729F">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D1E" w:rsidRDefault="00116D1E">
    <w:pPr>
      <w:pStyle w:val="Encabezado"/>
    </w:pPr>
  </w:p>
  <w:p w:rsidR="00116D1E" w:rsidRDefault="00116D1E">
    <w:pPr>
      <w:pStyle w:val="Encabezado"/>
    </w:pPr>
  </w:p>
  <w:p w:rsidR="00116D1E" w:rsidRDefault="00116D1E">
    <w:pPr>
      <w:pStyle w:val="Encabezado"/>
    </w:pPr>
  </w:p>
  <w:p w:rsidR="00116D1E" w:rsidRDefault="00116D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1E" w:rsidRPr="00B260DD" w:rsidRDefault="00116D1E">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14:anchorId="32451188" wp14:editId="1EBE6B18">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D1E" w:rsidRDefault="00116D1E">
    <w:pPr>
      <w:pStyle w:val="Encabezado"/>
      <w:rPr>
        <w:rFonts w:ascii="Gill Sans" w:hAnsi="Gill Sans"/>
        <w:lang w:val="es-MX"/>
      </w:rPr>
    </w:pPr>
  </w:p>
  <w:p w:rsidR="00116D1E" w:rsidRPr="00F077FB" w:rsidRDefault="00116D1E">
    <w:pPr>
      <w:pStyle w:val="Encabezado"/>
      <w:rPr>
        <w:rFonts w:ascii="Gill Sans" w:hAnsi="Gill Sans"/>
        <w:i/>
        <w:lang w:val="es-MX"/>
      </w:rPr>
    </w:pPr>
  </w:p>
  <w:p w:rsidR="00116D1E" w:rsidRDefault="00116D1E">
    <w:pPr>
      <w:pStyle w:val="Encabezado"/>
      <w:rPr>
        <w:rFonts w:ascii="Gill Sans" w:hAnsi="Gill Sans"/>
        <w:lang w:val="es-MX"/>
      </w:rPr>
    </w:pPr>
  </w:p>
  <w:p w:rsidR="00116D1E" w:rsidRDefault="00116D1E">
    <w:pPr>
      <w:pStyle w:val="Encabezado"/>
      <w:rPr>
        <w:rFonts w:ascii="Gill Sans" w:hAnsi="Gill Sans"/>
        <w:lang w:val="es-MX"/>
      </w:rPr>
    </w:pPr>
  </w:p>
  <w:p w:rsidR="00116D1E" w:rsidRDefault="00116D1E">
    <w:pPr>
      <w:pStyle w:val="Encabezado"/>
      <w:rPr>
        <w:rFonts w:ascii="Gill Sans" w:hAnsi="Gill Sans"/>
        <w:lang w:val="es-MX"/>
      </w:rPr>
    </w:pPr>
  </w:p>
  <w:p w:rsidR="00116D1E" w:rsidRDefault="00116D1E">
    <w:pPr>
      <w:pStyle w:val="Encabezado"/>
      <w:rPr>
        <w:rFonts w:ascii="Gill Sans" w:hAnsi="Gill Sans"/>
        <w:lang w:val="es-MX"/>
      </w:rPr>
    </w:pPr>
  </w:p>
  <w:p w:rsidR="00116D1E" w:rsidRDefault="00116D1E">
    <w:pPr>
      <w:pStyle w:val="Encabezado"/>
      <w:rPr>
        <w:rFonts w:ascii="Gill Sans" w:hAnsi="Gill Sans"/>
        <w:lang w:val="es-MX"/>
      </w:rPr>
    </w:pPr>
  </w:p>
  <w:p w:rsidR="00116D1E" w:rsidRDefault="00116D1E">
    <w:pPr>
      <w:pStyle w:val="Encabezado"/>
      <w:jc w:val="right"/>
      <w:rPr>
        <w:rFonts w:ascii="Univers Light Condensed" w:hAnsi="Univers Light Condensed"/>
        <w:sz w:val="24"/>
        <w:lang w:val="es-MX"/>
      </w:rPr>
    </w:pPr>
  </w:p>
  <w:p w:rsidR="00116D1E" w:rsidRDefault="00116D1E">
    <w:pPr>
      <w:pStyle w:val="Encabezado"/>
      <w:jc w:val="right"/>
      <w:rPr>
        <w:rFonts w:ascii="Univers Light Condensed" w:hAnsi="Univers Light Condensed"/>
        <w:sz w:val="24"/>
        <w:lang w:val="es-MX"/>
      </w:rPr>
    </w:pPr>
  </w:p>
  <w:p w:rsidR="00116D1E" w:rsidRDefault="00116D1E">
    <w:pPr>
      <w:pStyle w:val="Encabezado"/>
      <w:jc w:val="right"/>
      <w:rPr>
        <w:rFonts w:ascii="Univers Light Condensed" w:hAnsi="Univers Light Condensed"/>
        <w:sz w:val="24"/>
        <w:lang w:val="es-MX"/>
      </w:rPr>
    </w:pPr>
  </w:p>
  <w:p w:rsidR="00116D1E" w:rsidRDefault="00116D1E">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3BD3C6C"/>
    <w:multiLevelType w:val="hybridMultilevel"/>
    <w:tmpl w:val="56FA1A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9">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1132F16"/>
    <w:multiLevelType w:val="hybridMultilevel"/>
    <w:tmpl w:val="A4D03AA2"/>
    <w:lvl w:ilvl="0" w:tplc="F4ECB6E2">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2">
    <w:nsid w:val="44E71322"/>
    <w:multiLevelType w:val="hybridMultilevel"/>
    <w:tmpl w:val="2786B946"/>
    <w:lvl w:ilvl="0" w:tplc="5A9C811A">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4D672E24"/>
    <w:multiLevelType w:val="hybridMultilevel"/>
    <w:tmpl w:val="D5AA9BDC"/>
    <w:lvl w:ilvl="0" w:tplc="7382B07A">
      <w:start w:val="3"/>
      <w:numFmt w:val="bullet"/>
      <w:lvlText w:val=""/>
      <w:lvlJc w:val="left"/>
      <w:pPr>
        <w:ind w:left="1429" w:hanging="360"/>
      </w:pPr>
      <w:rPr>
        <w:rFonts w:ascii="Symbol" w:eastAsia="Times New Roman" w:hAnsi="Symbol"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9">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1">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8"/>
  </w:num>
  <w:num w:numId="4">
    <w:abstractNumId w:val="1"/>
  </w:num>
  <w:num w:numId="5">
    <w:abstractNumId w:val="23"/>
  </w:num>
  <w:num w:numId="6">
    <w:abstractNumId w:val="21"/>
  </w:num>
  <w:num w:numId="7">
    <w:abstractNumId w:val="26"/>
  </w:num>
  <w:num w:numId="8">
    <w:abstractNumId w:val="9"/>
  </w:num>
  <w:num w:numId="9">
    <w:abstractNumId w:val="17"/>
  </w:num>
  <w:num w:numId="10">
    <w:abstractNumId w:val="3"/>
  </w:num>
  <w:num w:numId="11">
    <w:abstractNumId w:val="19"/>
  </w:num>
  <w:num w:numId="12">
    <w:abstractNumId w:val="10"/>
  </w:num>
  <w:num w:numId="13">
    <w:abstractNumId w:val="22"/>
  </w:num>
  <w:num w:numId="14">
    <w:abstractNumId w:val="27"/>
  </w:num>
  <w:num w:numId="15">
    <w:abstractNumId w:val="29"/>
  </w:num>
  <w:num w:numId="16">
    <w:abstractNumId w:val="13"/>
  </w:num>
  <w:num w:numId="17">
    <w:abstractNumId w:val="25"/>
  </w:num>
  <w:num w:numId="18">
    <w:abstractNumId w:val="16"/>
  </w:num>
  <w:num w:numId="19">
    <w:abstractNumId w:val="30"/>
  </w:num>
  <w:num w:numId="20">
    <w:abstractNumId w:val="20"/>
  </w:num>
  <w:num w:numId="21">
    <w:abstractNumId w:val="28"/>
  </w:num>
  <w:num w:numId="22">
    <w:abstractNumId w:val="14"/>
  </w:num>
  <w:num w:numId="23">
    <w:abstractNumId w:val="5"/>
  </w:num>
  <w:num w:numId="24">
    <w:abstractNumId w:val="4"/>
  </w:num>
  <w:num w:numId="25">
    <w:abstractNumId w:val="0"/>
  </w:num>
  <w:num w:numId="26">
    <w:abstractNumId w:val="24"/>
  </w:num>
  <w:num w:numId="27">
    <w:abstractNumId w:val="8"/>
  </w:num>
  <w:num w:numId="28">
    <w:abstractNumId w:val="7"/>
  </w:num>
  <w:num w:numId="29">
    <w:abstractNumId w:val="12"/>
  </w:num>
  <w:num w:numId="30">
    <w:abstractNumId w:val="11"/>
  </w:num>
  <w:num w:numId="3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10EB"/>
    <w:rsid w:val="00001295"/>
    <w:rsid w:val="00001AD9"/>
    <w:rsid w:val="0000228A"/>
    <w:rsid w:val="00002309"/>
    <w:rsid w:val="0000235B"/>
    <w:rsid w:val="000023A9"/>
    <w:rsid w:val="00002949"/>
    <w:rsid w:val="00003709"/>
    <w:rsid w:val="00003E78"/>
    <w:rsid w:val="000043D0"/>
    <w:rsid w:val="000043F9"/>
    <w:rsid w:val="00004D91"/>
    <w:rsid w:val="00004E9B"/>
    <w:rsid w:val="00005A26"/>
    <w:rsid w:val="000064E6"/>
    <w:rsid w:val="000067A0"/>
    <w:rsid w:val="000101A9"/>
    <w:rsid w:val="0001148D"/>
    <w:rsid w:val="000119EC"/>
    <w:rsid w:val="0001204A"/>
    <w:rsid w:val="000127AE"/>
    <w:rsid w:val="00012DE0"/>
    <w:rsid w:val="00013307"/>
    <w:rsid w:val="00013986"/>
    <w:rsid w:val="0001433D"/>
    <w:rsid w:val="00014397"/>
    <w:rsid w:val="00014464"/>
    <w:rsid w:val="00016386"/>
    <w:rsid w:val="00017319"/>
    <w:rsid w:val="00017698"/>
    <w:rsid w:val="00017E66"/>
    <w:rsid w:val="00020534"/>
    <w:rsid w:val="00020587"/>
    <w:rsid w:val="00020B13"/>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5B"/>
    <w:rsid w:val="00043AFB"/>
    <w:rsid w:val="00043C2F"/>
    <w:rsid w:val="0004465A"/>
    <w:rsid w:val="000448B3"/>
    <w:rsid w:val="00044EE0"/>
    <w:rsid w:val="00046892"/>
    <w:rsid w:val="00046B35"/>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D14"/>
    <w:rsid w:val="00060CA4"/>
    <w:rsid w:val="00060F74"/>
    <w:rsid w:val="00061B35"/>
    <w:rsid w:val="00062464"/>
    <w:rsid w:val="000631CF"/>
    <w:rsid w:val="00063A1B"/>
    <w:rsid w:val="00063CD2"/>
    <w:rsid w:val="000647BA"/>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748"/>
    <w:rsid w:val="00080B1C"/>
    <w:rsid w:val="00080FE2"/>
    <w:rsid w:val="000812E8"/>
    <w:rsid w:val="0008188B"/>
    <w:rsid w:val="0008338E"/>
    <w:rsid w:val="000842E8"/>
    <w:rsid w:val="0008455B"/>
    <w:rsid w:val="000849DD"/>
    <w:rsid w:val="00085F3D"/>
    <w:rsid w:val="000862E0"/>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20"/>
    <w:rsid w:val="000A218F"/>
    <w:rsid w:val="000A2769"/>
    <w:rsid w:val="000A31A4"/>
    <w:rsid w:val="000A3299"/>
    <w:rsid w:val="000A377C"/>
    <w:rsid w:val="000A38B2"/>
    <w:rsid w:val="000A3995"/>
    <w:rsid w:val="000A3B69"/>
    <w:rsid w:val="000A416D"/>
    <w:rsid w:val="000A6553"/>
    <w:rsid w:val="000A6CF9"/>
    <w:rsid w:val="000A74F5"/>
    <w:rsid w:val="000A784A"/>
    <w:rsid w:val="000A7BAE"/>
    <w:rsid w:val="000A7FBF"/>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DCC"/>
    <w:rsid w:val="000B6FE2"/>
    <w:rsid w:val="000B70B5"/>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AB7"/>
    <w:rsid w:val="000D2E4B"/>
    <w:rsid w:val="000D3155"/>
    <w:rsid w:val="000D4825"/>
    <w:rsid w:val="000D4BF7"/>
    <w:rsid w:val="000D4EE0"/>
    <w:rsid w:val="000D5D51"/>
    <w:rsid w:val="000D5D6F"/>
    <w:rsid w:val="000D5E32"/>
    <w:rsid w:val="000D618E"/>
    <w:rsid w:val="000D6782"/>
    <w:rsid w:val="000D6FAF"/>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C41"/>
    <w:rsid w:val="000E7DBA"/>
    <w:rsid w:val="000E7F5C"/>
    <w:rsid w:val="000F04C1"/>
    <w:rsid w:val="000F12E9"/>
    <w:rsid w:val="000F1FC8"/>
    <w:rsid w:val="000F2066"/>
    <w:rsid w:val="000F2532"/>
    <w:rsid w:val="000F2C9B"/>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63D"/>
    <w:rsid w:val="000F77CD"/>
    <w:rsid w:val="000F7D85"/>
    <w:rsid w:val="000F7E68"/>
    <w:rsid w:val="0010044D"/>
    <w:rsid w:val="00100739"/>
    <w:rsid w:val="00100DEA"/>
    <w:rsid w:val="0010236D"/>
    <w:rsid w:val="0010251F"/>
    <w:rsid w:val="001025B9"/>
    <w:rsid w:val="0010269C"/>
    <w:rsid w:val="0010271E"/>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6AB8"/>
    <w:rsid w:val="00116D1E"/>
    <w:rsid w:val="0011722F"/>
    <w:rsid w:val="001172CF"/>
    <w:rsid w:val="001176EA"/>
    <w:rsid w:val="00120370"/>
    <w:rsid w:val="00120D0E"/>
    <w:rsid w:val="00121183"/>
    <w:rsid w:val="001217DE"/>
    <w:rsid w:val="00121904"/>
    <w:rsid w:val="001221AD"/>
    <w:rsid w:val="001233E8"/>
    <w:rsid w:val="001237D2"/>
    <w:rsid w:val="00124240"/>
    <w:rsid w:val="00124A70"/>
    <w:rsid w:val="00124AF8"/>
    <w:rsid w:val="00124F0F"/>
    <w:rsid w:val="0012550C"/>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1DF"/>
    <w:rsid w:val="00141DAA"/>
    <w:rsid w:val="00141EE5"/>
    <w:rsid w:val="00141EEA"/>
    <w:rsid w:val="0014201C"/>
    <w:rsid w:val="00142956"/>
    <w:rsid w:val="00142961"/>
    <w:rsid w:val="00143454"/>
    <w:rsid w:val="00143679"/>
    <w:rsid w:val="001439B9"/>
    <w:rsid w:val="001443BA"/>
    <w:rsid w:val="001445B1"/>
    <w:rsid w:val="001449B2"/>
    <w:rsid w:val="00145491"/>
    <w:rsid w:val="001457E2"/>
    <w:rsid w:val="00145A49"/>
    <w:rsid w:val="00145E66"/>
    <w:rsid w:val="0014660E"/>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3E58"/>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FA9"/>
    <w:rsid w:val="001662B6"/>
    <w:rsid w:val="001662C2"/>
    <w:rsid w:val="00166331"/>
    <w:rsid w:val="00166A12"/>
    <w:rsid w:val="00167308"/>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3B2"/>
    <w:rsid w:val="00187957"/>
    <w:rsid w:val="00187D10"/>
    <w:rsid w:val="00187FF6"/>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EF2"/>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872"/>
    <w:rsid w:val="001A7F72"/>
    <w:rsid w:val="001B0336"/>
    <w:rsid w:val="001B0CC8"/>
    <w:rsid w:val="001B1DD8"/>
    <w:rsid w:val="001B24FF"/>
    <w:rsid w:val="001B273D"/>
    <w:rsid w:val="001B2D59"/>
    <w:rsid w:val="001B5408"/>
    <w:rsid w:val="001B63C5"/>
    <w:rsid w:val="001B6C92"/>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E99"/>
    <w:rsid w:val="001C3F70"/>
    <w:rsid w:val="001C3F8E"/>
    <w:rsid w:val="001C43F6"/>
    <w:rsid w:val="001C5033"/>
    <w:rsid w:val="001C5300"/>
    <w:rsid w:val="001C5DA8"/>
    <w:rsid w:val="001C6364"/>
    <w:rsid w:val="001C6D90"/>
    <w:rsid w:val="001C6F19"/>
    <w:rsid w:val="001C706E"/>
    <w:rsid w:val="001C759B"/>
    <w:rsid w:val="001D0592"/>
    <w:rsid w:val="001D0609"/>
    <w:rsid w:val="001D07FE"/>
    <w:rsid w:val="001D0DAD"/>
    <w:rsid w:val="001D198B"/>
    <w:rsid w:val="001D1D36"/>
    <w:rsid w:val="001D1D99"/>
    <w:rsid w:val="001D27C3"/>
    <w:rsid w:val="001D2997"/>
    <w:rsid w:val="001D315A"/>
    <w:rsid w:val="001D33DC"/>
    <w:rsid w:val="001D45B5"/>
    <w:rsid w:val="001D4C05"/>
    <w:rsid w:val="001D541D"/>
    <w:rsid w:val="001D6BF7"/>
    <w:rsid w:val="001D6DC2"/>
    <w:rsid w:val="001D7126"/>
    <w:rsid w:val="001D73B6"/>
    <w:rsid w:val="001D74D1"/>
    <w:rsid w:val="001E0B35"/>
    <w:rsid w:val="001E11DC"/>
    <w:rsid w:val="001E153B"/>
    <w:rsid w:val="001E1774"/>
    <w:rsid w:val="001E18B1"/>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7163"/>
    <w:rsid w:val="001E7BAE"/>
    <w:rsid w:val="001E7F25"/>
    <w:rsid w:val="001F0AEA"/>
    <w:rsid w:val="001F0B38"/>
    <w:rsid w:val="001F0F5C"/>
    <w:rsid w:val="001F1803"/>
    <w:rsid w:val="001F1C71"/>
    <w:rsid w:val="001F21A4"/>
    <w:rsid w:val="001F223E"/>
    <w:rsid w:val="001F23DE"/>
    <w:rsid w:val="001F2B8F"/>
    <w:rsid w:val="001F4094"/>
    <w:rsid w:val="001F4475"/>
    <w:rsid w:val="001F4509"/>
    <w:rsid w:val="001F4748"/>
    <w:rsid w:val="001F4CEA"/>
    <w:rsid w:val="001F5754"/>
    <w:rsid w:val="001F5ABB"/>
    <w:rsid w:val="001F5F1E"/>
    <w:rsid w:val="001F61F3"/>
    <w:rsid w:val="001F6261"/>
    <w:rsid w:val="001F68BA"/>
    <w:rsid w:val="001F70C6"/>
    <w:rsid w:val="001F74C4"/>
    <w:rsid w:val="001F782E"/>
    <w:rsid w:val="001F7E86"/>
    <w:rsid w:val="001F7EFE"/>
    <w:rsid w:val="002007EB"/>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7284"/>
    <w:rsid w:val="0020778A"/>
    <w:rsid w:val="00207FD7"/>
    <w:rsid w:val="00210C19"/>
    <w:rsid w:val="00210C7A"/>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1B0"/>
    <w:rsid w:val="002174EC"/>
    <w:rsid w:val="002177AE"/>
    <w:rsid w:val="00217972"/>
    <w:rsid w:val="00217EFB"/>
    <w:rsid w:val="00221415"/>
    <w:rsid w:val="00221A37"/>
    <w:rsid w:val="00221C43"/>
    <w:rsid w:val="00222036"/>
    <w:rsid w:val="0022254B"/>
    <w:rsid w:val="00222E0C"/>
    <w:rsid w:val="002235BA"/>
    <w:rsid w:val="00224463"/>
    <w:rsid w:val="00225043"/>
    <w:rsid w:val="002259A8"/>
    <w:rsid w:val="00225A21"/>
    <w:rsid w:val="00226083"/>
    <w:rsid w:val="00226233"/>
    <w:rsid w:val="00226FD8"/>
    <w:rsid w:val="00227B90"/>
    <w:rsid w:val="00227CF8"/>
    <w:rsid w:val="002302A2"/>
    <w:rsid w:val="00230542"/>
    <w:rsid w:val="00230D1D"/>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407A3"/>
    <w:rsid w:val="00240CDB"/>
    <w:rsid w:val="00241495"/>
    <w:rsid w:val="00241E62"/>
    <w:rsid w:val="0024217F"/>
    <w:rsid w:val="00242DAE"/>
    <w:rsid w:val="00243720"/>
    <w:rsid w:val="0024400F"/>
    <w:rsid w:val="002440B7"/>
    <w:rsid w:val="00244A13"/>
    <w:rsid w:val="00244CFC"/>
    <w:rsid w:val="00245066"/>
    <w:rsid w:val="002458B2"/>
    <w:rsid w:val="00246A49"/>
    <w:rsid w:val="00246CEA"/>
    <w:rsid w:val="0024706B"/>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7B8"/>
    <w:rsid w:val="00263F29"/>
    <w:rsid w:val="00265CCA"/>
    <w:rsid w:val="002660E9"/>
    <w:rsid w:val="00266335"/>
    <w:rsid w:val="00266857"/>
    <w:rsid w:val="00266A52"/>
    <w:rsid w:val="002670D6"/>
    <w:rsid w:val="0026710B"/>
    <w:rsid w:val="00267434"/>
    <w:rsid w:val="00267D08"/>
    <w:rsid w:val="00270F51"/>
    <w:rsid w:val="002714A8"/>
    <w:rsid w:val="002717B8"/>
    <w:rsid w:val="002722CB"/>
    <w:rsid w:val="002726BE"/>
    <w:rsid w:val="002726C8"/>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EEE"/>
    <w:rsid w:val="002774FF"/>
    <w:rsid w:val="00277B25"/>
    <w:rsid w:val="00277B8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297F"/>
    <w:rsid w:val="002B39AE"/>
    <w:rsid w:val="002B3C08"/>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2B53"/>
    <w:rsid w:val="002C3148"/>
    <w:rsid w:val="002C3163"/>
    <w:rsid w:val="002C3AC4"/>
    <w:rsid w:val="002C44D0"/>
    <w:rsid w:val="002C4A2F"/>
    <w:rsid w:val="002C4B8A"/>
    <w:rsid w:val="002C5293"/>
    <w:rsid w:val="002C6AEF"/>
    <w:rsid w:val="002C6B82"/>
    <w:rsid w:val="002C6CD0"/>
    <w:rsid w:val="002C742C"/>
    <w:rsid w:val="002D0309"/>
    <w:rsid w:val="002D0539"/>
    <w:rsid w:val="002D06D5"/>
    <w:rsid w:val="002D099A"/>
    <w:rsid w:val="002D0EE6"/>
    <w:rsid w:val="002D127B"/>
    <w:rsid w:val="002D14EE"/>
    <w:rsid w:val="002D1FDF"/>
    <w:rsid w:val="002D1FFD"/>
    <w:rsid w:val="002D247D"/>
    <w:rsid w:val="002D277D"/>
    <w:rsid w:val="002D343C"/>
    <w:rsid w:val="002D35B6"/>
    <w:rsid w:val="002D370A"/>
    <w:rsid w:val="002D3ECC"/>
    <w:rsid w:val="002D4037"/>
    <w:rsid w:val="002D45F2"/>
    <w:rsid w:val="002D4DCD"/>
    <w:rsid w:val="002D4FEA"/>
    <w:rsid w:val="002D53E1"/>
    <w:rsid w:val="002D53FF"/>
    <w:rsid w:val="002D5D4D"/>
    <w:rsid w:val="002D65C0"/>
    <w:rsid w:val="002D6AB6"/>
    <w:rsid w:val="002D6ACC"/>
    <w:rsid w:val="002D70D8"/>
    <w:rsid w:val="002D76AE"/>
    <w:rsid w:val="002E00AF"/>
    <w:rsid w:val="002E0315"/>
    <w:rsid w:val="002E0A33"/>
    <w:rsid w:val="002E16D4"/>
    <w:rsid w:val="002E21AC"/>
    <w:rsid w:val="002E258D"/>
    <w:rsid w:val="002E28EB"/>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3044"/>
    <w:rsid w:val="003034E2"/>
    <w:rsid w:val="0030368B"/>
    <w:rsid w:val="0030579A"/>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C1"/>
    <w:rsid w:val="00317582"/>
    <w:rsid w:val="00317693"/>
    <w:rsid w:val="00317700"/>
    <w:rsid w:val="00317825"/>
    <w:rsid w:val="00317B18"/>
    <w:rsid w:val="00317CFA"/>
    <w:rsid w:val="003204E5"/>
    <w:rsid w:val="00320758"/>
    <w:rsid w:val="00320AED"/>
    <w:rsid w:val="00321714"/>
    <w:rsid w:val="00321BCA"/>
    <w:rsid w:val="00322C67"/>
    <w:rsid w:val="00322ECF"/>
    <w:rsid w:val="0032344A"/>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F8"/>
    <w:rsid w:val="0033216B"/>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6C47"/>
    <w:rsid w:val="00337E4A"/>
    <w:rsid w:val="003406B3"/>
    <w:rsid w:val="0034086D"/>
    <w:rsid w:val="00340AD7"/>
    <w:rsid w:val="00341741"/>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414"/>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4A5"/>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F7D"/>
    <w:rsid w:val="003945F8"/>
    <w:rsid w:val="0039472C"/>
    <w:rsid w:val="0039632A"/>
    <w:rsid w:val="003968E9"/>
    <w:rsid w:val="00396CB4"/>
    <w:rsid w:val="00397010"/>
    <w:rsid w:val="00397381"/>
    <w:rsid w:val="003973DC"/>
    <w:rsid w:val="00397FC8"/>
    <w:rsid w:val="003A0606"/>
    <w:rsid w:val="003A14C8"/>
    <w:rsid w:val="003A1E6D"/>
    <w:rsid w:val="003A2A69"/>
    <w:rsid w:val="003A370B"/>
    <w:rsid w:val="003A395D"/>
    <w:rsid w:val="003A3E81"/>
    <w:rsid w:val="003A40B2"/>
    <w:rsid w:val="003A43BB"/>
    <w:rsid w:val="003A4641"/>
    <w:rsid w:val="003A5894"/>
    <w:rsid w:val="003A5975"/>
    <w:rsid w:val="003A60DB"/>
    <w:rsid w:val="003A6100"/>
    <w:rsid w:val="003A6900"/>
    <w:rsid w:val="003A6BDB"/>
    <w:rsid w:val="003A7139"/>
    <w:rsid w:val="003A7C1C"/>
    <w:rsid w:val="003A7C69"/>
    <w:rsid w:val="003B09A3"/>
    <w:rsid w:val="003B09AC"/>
    <w:rsid w:val="003B0F8F"/>
    <w:rsid w:val="003B1DF3"/>
    <w:rsid w:val="003B234E"/>
    <w:rsid w:val="003B289E"/>
    <w:rsid w:val="003B28F3"/>
    <w:rsid w:val="003B2BC1"/>
    <w:rsid w:val="003B3C3F"/>
    <w:rsid w:val="003B40B9"/>
    <w:rsid w:val="003B4588"/>
    <w:rsid w:val="003B560D"/>
    <w:rsid w:val="003B5731"/>
    <w:rsid w:val="003B5A87"/>
    <w:rsid w:val="003B5D70"/>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C7B15"/>
    <w:rsid w:val="003D005E"/>
    <w:rsid w:val="003D0263"/>
    <w:rsid w:val="003D0626"/>
    <w:rsid w:val="003D072E"/>
    <w:rsid w:val="003D1F95"/>
    <w:rsid w:val="003D213C"/>
    <w:rsid w:val="003D24F2"/>
    <w:rsid w:val="003D28B2"/>
    <w:rsid w:val="003D2FB2"/>
    <w:rsid w:val="003D33F5"/>
    <w:rsid w:val="003D3793"/>
    <w:rsid w:val="003D3A56"/>
    <w:rsid w:val="003D3A73"/>
    <w:rsid w:val="003D3F63"/>
    <w:rsid w:val="003D40F4"/>
    <w:rsid w:val="003D47A2"/>
    <w:rsid w:val="003D47FA"/>
    <w:rsid w:val="003D4A7C"/>
    <w:rsid w:val="003D4F6B"/>
    <w:rsid w:val="003D5417"/>
    <w:rsid w:val="003D5829"/>
    <w:rsid w:val="003D61E5"/>
    <w:rsid w:val="003D672C"/>
    <w:rsid w:val="003D6C3A"/>
    <w:rsid w:val="003D73BD"/>
    <w:rsid w:val="003D7B17"/>
    <w:rsid w:val="003D7E48"/>
    <w:rsid w:val="003D7E9C"/>
    <w:rsid w:val="003D7F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90E"/>
    <w:rsid w:val="003E7AED"/>
    <w:rsid w:val="003E7FF4"/>
    <w:rsid w:val="003F029F"/>
    <w:rsid w:val="003F0EBB"/>
    <w:rsid w:val="003F110C"/>
    <w:rsid w:val="003F14BD"/>
    <w:rsid w:val="003F15C7"/>
    <w:rsid w:val="003F16BB"/>
    <w:rsid w:val="003F18EB"/>
    <w:rsid w:val="003F1A4B"/>
    <w:rsid w:val="003F1D87"/>
    <w:rsid w:val="003F2463"/>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450"/>
    <w:rsid w:val="004046CA"/>
    <w:rsid w:val="00404CD3"/>
    <w:rsid w:val="00404F9A"/>
    <w:rsid w:val="00405290"/>
    <w:rsid w:val="00405FCB"/>
    <w:rsid w:val="004060A0"/>
    <w:rsid w:val="004060AC"/>
    <w:rsid w:val="0040630B"/>
    <w:rsid w:val="0040636B"/>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167"/>
    <w:rsid w:val="00427667"/>
    <w:rsid w:val="00427A41"/>
    <w:rsid w:val="00427C04"/>
    <w:rsid w:val="00430867"/>
    <w:rsid w:val="0043120C"/>
    <w:rsid w:val="004312E4"/>
    <w:rsid w:val="0043148B"/>
    <w:rsid w:val="00431799"/>
    <w:rsid w:val="0043226D"/>
    <w:rsid w:val="004330CD"/>
    <w:rsid w:val="00433856"/>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476"/>
    <w:rsid w:val="004456A5"/>
    <w:rsid w:val="004456F1"/>
    <w:rsid w:val="0044586D"/>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62E"/>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2F"/>
    <w:rsid w:val="004B045C"/>
    <w:rsid w:val="004B067E"/>
    <w:rsid w:val="004B077C"/>
    <w:rsid w:val="004B0A8C"/>
    <w:rsid w:val="004B0C34"/>
    <w:rsid w:val="004B102E"/>
    <w:rsid w:val="004B1992"/>
    <w:rsid w:val="004B21D0"/>
    <w:rsid w:val="004B2413"/>
    <w:rsid w:val="004B2494"/>
    <w:rsid w:val="004B2960"/>
    <w:rsid w:val="004B2EBF"/>
    <w:rsid w:val="004B2F95"/>
    <w:rsid w:val="004B3000"/>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2A3"/>
    <w:rsid w:val="004C1640"/>
    <w:rsid w:val="004C17F2"/>
    <w:rsid w:val="004C1E4E"/>
    <w:rsid w:val="004C241E"/>
    <w:rsid w:val="004C2473"/>
    <w:rsid w:val="004C2504"/>
    <w:rsid w:val="004C2BCA"/>
    <w:rsid w:val="004C3323"/>
    <w:rsid w:val="004C389A"/>
    <w:rsid w:val="004C424E"/>
    <w:rsid w:val="004C4F26"/>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4E8B"/>
    <w:rsid w:val="004D5026"/>
    <w:rsid w:val="004D52D2"/>
    <w:rsid w:val="004D53D6"/>
    <w:rsid w:val="004D611D"/>
    <w:rsid w:val="004D6EA8"/>
    <w:rsid w:val="004D7E56"/>
    <w:rsid w:val="004E0E0E"/>
    <w:rsid w:val="004E0E46"/>
    <w:rsid w:val="004E19A4"/>
    <w:rsid w:val="004E1B3F"/>
    <w:rsid w:val="004E213A"/>
    <w:rsid w:val="004E2948"/>
    <w:rsid w:val="004E2D58"/>
    <w:rsid w:val="004E339C"/>
    <w:rsid w:val="004E37B5"/>
    <w:rsid w:val="004E3A8E"/>
    <w:rsid w:val="004E3B73"/>
    <w:rsid w:val="004E4416"/>
    <w:rsid w:val="004E4584"/>
    <w:rsid w:val="004E49C5"/>
    <w:rsid w:val="004E516F"/>
    <w:rsid w:val="004E51F2"/>
    <w:rsid w:val="004E5238"/>
    <w:rsid w:val="004E5BFC"/>
    <w:rsid w:val="004E5CA3"/>
    <w:rsid w:val="004E617D"/>
    <w:rsid w:val="004E6304"/>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378E"/>
    <w:rsid w:val="005038EA"/>
    <w:rsid w:val="0050419A"/>
    <w:rsid w:val="005058F5"/>
    <w:rsid w:val="00505C7F"/>
    <w:rsid w:val="005066ED"/>
    <w:rsid w:val="00506956"/>
    <w:rsid w:val="00507006"/>
    <w:rsid w:val="005075E4"/>
    <w:rsid w:val="005100AC"/>
    <w:rsid w:val="00510BFA"/>
    <w:rsid w:val="0051122D"/>
    <w:rsid w:val="00511637"/>
    <w:rsid w:val="0051197A"/>
    <w:rsid w:val="00511EBA"/>
    <w:rsid w:val="00511FAC"/>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599"/>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BB6"/>
    <w:rsid w:val="005433ED"/>
    <w:rsid w:val="005436E2"/>
    <w:rsid w:val="00543973"/>
    <w:rsid w:val="00544296"/>
    <w:rsid w:val="0054430C"/>
    <w:rsid w:val="005444C0"/>
    <w:rsid w:val="00544ADD"/>
    <w:rsid w:val="00544CA4"/>
    <w:rsid w:val="00544DD1"/>
    <w:rsid w:val="005467DB"/>
    <w:rsid w:val="005468B5"/>
    <w:rsid w:val="005476E2"/>
    <w:rsid w:val="005478A3"/>
    <w:rsid w:val="0054796D"/>
    <w:rsid w:val="005509C4"/>
    <w:rsid w:val="00550B86"/>
    <w:rsid w:val="00550EC3"/>
    <w:rsid w:val="00550FDF"/>
    <w:rsid w:val="00551071"/>
    <w:rsid w:val="005510AC"/>
    <w:rsid w:val="0055136F"/>
    <w:rsid w:val="00552061"/>
    <w:rsid w:val="00553709"/>
    <w:rsid w:val="005538F1"/>
    <w:rsid w:val="00553BA4"/>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8FA"/>
    <w:rsid w:val="00570C33"/>
    <w:rsid w:val="0057169D"/>
    <w:rsid w:val="00571C60"/>
    <w:rsid w:val="00571F45"/>
    <w:rsid w:val="00572224"/>
    <w:rsid w:val="00573872"/>
    <w:rsid w:val="00574982"/>
    <w:rsid w:val="00575012"/>
    <w:rsid w:val="00575387"/>
    <w:rsid w:val="00575E21"/>
    <w:rsid w:val="005762DA"/>
    <w:rsid w:val="00576596"/>
    <w:rsid w:val="005767E9"/>
    <w:rsid w:val="00576B4A"/>
    <w:rsid w:val="00577016"/>
    <w:rsid w:val="0057707B"/>
    <w:rsid w:val="00577282"/>
    <w:rsid w:val="005773AA"/>
    <w:rsid w:val="00577920"/>
    <w:rsid w:val="00577AB9"/>
    <w:rsid w:val="00580587"/>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BBD"/>
    <w:rsid w:val="00596E00"/>
    <w:rsid w:val="005A02A9"/>
    <w:rsid w:val="005A06AE"/>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AEF"/>
    <w:rsid w:val="005B312E"/>
    <w:rsid w:val="005B33A5"/>
    <w:rsid w:val="005B33F7"/>
    <w:rsid w:val="005B3C74"/>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3EB4"/>
    <w:rsid w:val="005C40B2"/>
    <w:rsid w:val="005C4210"/>
    <w:rsid w:val="005C4768"/>
    <w:rsid w:val="005C4A3E"/>
    <w:rsid w:val="005C4F4F"/>
    <w:rsid w:val="005C4FE7"/>
    <w:rsid w:val="005C533C"/>
    <w:rsid w:val="005C55A4"/>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2410"/>
    <w:rsid w:val="005E28B3"/>
    <w:rsid w:val="005E408F"/>
    <w:rsid w:val="005E4A7A"/>
    <w:rsid w:val="005E5019"/>
    <w:rsid w:val="005E5131"/>
    <w:rsid w:val="005E51B8"/>
    <w:rsid w:val="005E5E6D"/>
    <w:rsid w:val="005E601B"/>
    <w:rsid w:val="005E6505"/>
    <w:rsid w:val="005E6A3C"/>
    <w:rsid w:val="005E6A95"/>
    <w:rsid w:val="005E72BF"/>
    <w:rsid w:val="005E79F1"/>
    <w:rsid w:val="005E7A7C"/>
    <w:rsid w:val="005F02F9"/>
    <w:rsid w:val="005F03F6"/>
    <w:rsid w:val="005F043E"/>
    <w:rsid w:val="005F0B96"/>
    <w:rsid w:val="005F10AF"/>
    <w:rsid w:val="005F1B38"/>
    <w:rsid w:val="005F1B55"/>
    <w:rsid w:val="005F1BF6"/>
    <w:rsid w:val="005F2098"/>
    <w:rsid w:val="005F2407"/>
    <w:rsid w:val="005F2B2D"/>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5322"/>
    <w:rsid w:val="0060563A"/>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652D"/>
    <w:rsid w:val="00626C82"/>
    <w:rsid w:val="00626D84"/>
    <w:rsid w:val="00626DC4"/>
    <w:rsid w:val="00627565"/>
    <w:rsid w:val="00627648"/>
    <w:rsid w:val="006313C6"/>
    <w:rsid w:val="00631623"/>
    <w:rsid w:val="00631A1D"/>
    <w:rsid w:val="00631B79"/>
    <w:rsid w:val="00631BC8"/>
    <w:rsid w:val="00631D7E"/>
    <w:rsid w:val="006320D7"/>
    <w:rsid w:val="00632A34"/>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18C"/>
    <w:rsid w:val="006466F6"/>
    <w:rsid w:val="00647D69"/>
    <w:rsid w:val="00650361"/>
    <w:rsid w:val="006513AD"/>
    <w:rsid w:val="00651DE6"/>
    <w:rsid w:val="0065212F"/>
    <w:rsid w:val="00652184"/>
    <w:rsid w:val="00652817"/>
    <w:rsid w:val="0065317B"/>
    <w:rsid w:val="00653199"/>
    <w:rsid w:val="00653AB2"/>
    <w:rsid w:val="0065494D"/>
    <w:rsid w:val="00654963"/>
    <w:rsid w:val="0065590A"/>
    <w:rsid w:val="00655CAF"/>
    <w:rsid w:val="00657110"/>
    <w:rsid w:val="00657F22"/>
    <w:rsid w:val="006600CC"/>
    <w:rsid w:val="0066058B"/>
    <w:rsid w:val="00660C33"/>
    <w:rsid w:val="006612E1"/>
    <w:rsid w:val="006618CE"/>
    <w:rsid w:val="0066197E"/>
    <w:rsid w:val="00661B7D"/>
    <w:rsid w:val="00661C90"/>
    <w:rsid w:val="00663BD9"/>
    <w:rsid w:val="006658E8"/>
    <w:rsid w:val="006662E2"/>
    <w:rsid w:val="0066659F"/>
    <w:rsid w:val="00666BC9"/>
    <w:rsid w:val="00666D75"/>
    <w:rsid w:val="00666F0F"/>
    <w:rsid w:val="00667B52"/>
    <w:rsid w:val="00670948"/>
    <w:rsid w:val="00670B1C"/>
    <w:rsid w:val="00670FA0"/>
    <w:rsid w:val="00671684"/>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2EF4"/>
    <w:rsid w:val="006836CF"/>
    <w:rsid w:val="006838FA"/>
    <w:rsid w:val="00683AA3"/>
    <w:rsid w:val="00683FCE"/>
    <w:rsid w:val="00684867"/>
    <w:rsid w:val="00684D20"/>
    <w:rsid w:val="006850CE"/>
    <w:rsid w:val="006852CF"/>
    <w:rsid w:val="00685316"/>
    <w:rsid w:val="00685465"/>
    <w:rsid w:val="006859E6"/>
    <w:rsid w:val="00686455"/>
    <w:rsid w:val="00687C21"/>
    <w:rsid w:val="00687CA0"/>
    <w:rsid w:val="006902EE"/>
    <w:rsid w:val="006903EA"/>
    <w:rsid w:val="0069082E"/>
    <w:rsid w:val="00691059"/>
    <w:rsid w:val="006911A8"/>
    <w:rsid w:val="00691CE9"/>
    <w:rsid w:val="00691E03"/>
    <w:rsid w:val="006924A1"/>
    <w:rsid w:val="006924AD"/>
    <w:rsid w:val="00693310"/>
    <w:rsid w:val="00693CA7"/>
    <w:rsid w:val="006943E4"/>
    <w:rsid w:val="006945BD"/>
    <w:rsid w:val="00694723"/>
    <w:rsid w:val="0069492D"/>
    <w:rsid w:val="00694FFD"/>
    <w:rsid w:val="006955E0"/>
    <w:rsid w:val="00695900"/>
    <w:rsid w:val="00695C5D"/>
    <w:rsid w:val="00696469"/>
    <w:rsid w:val="0069657B"/>
    <w:rsid w:val="00696B18"/>
    <w:rsid w:val="00696DB2"/>
    <w:rsid w:val="006979DD"/>
    <w:rsid w:val="006A01AB"/>
    <w:rsid w:val="006A02E2"/>
    <w:rsid w:val="006A0804"/>
    <w:rsid w:val="006A0F68"/>
    <w:rsid w:val="006A1042"/>
    <w:rsid w:val="006A112D"/>
    <w:rsid w:val="006A1738"/>
    <w:rsid w:val="006A1798"/>
    <w:rsid w:val="006A1D8A"/>
    <w:rsid w:val="006A2403"/>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18BE"/>
    <w:rsid w:val="006B2D1F"/>
    <w:rsid w:val="006B3701"/>
    <w:rsid w:val="006B37AC"/>
    <w:rsid w:val="006B413C"/>
    <w:rsid w:val="006B48D3"/>
    <w:rsid w:val="006B4CB9"/>
    <w:rsid w:val="006B515E"/>
    <w:rsid w:val="006B5B2A"/>
    <w:rsid w:val="006B6250"/>
    <w:rsid w:val="006B7074"/>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5E7"/>
    <w:rsid w:val="006D0AF3"/>
    <w:rsid w:val="006D1391"/>
    <w:rsid w:val="006D146C"/>
    <w:rsid w:val="006D1AA8"/>
    <w:rsid w:val="006D1E3B"/>
    <w:rsid w:val="006D20A4"/>
    <w:rsid w:val="006D23AC"/>
    <w:rsid w:val="006D26D6"/>
    <w:rsid w:val="006D2769"/>
    <w:rsid w:val="006D2E77"/>
    <w:rsid w:val="006D4311"/>
    <w:rsid w:val="006D439F"/>
    <w:rsid w:val="006D44EA"/>
    <w:rsid w:val="006D549A"/>
    <w:rsid w:val="006D5555"/>
    <w:rsid w:val="006D5D78"/>
    <w:rsid w:val="006D694A"/>
    <w:rsid w:val="006D6F0C"/>
    <w:rsid w:val="006D6F7A"/>
    <w:rsid w:val="006E01D9"/>
    <w:rsid w:val="006E04FC"/>
    <w:rsid w:val="006E05E4"/>
    <w:rsid w:val="006E09C0"/>
    <w:rsid w:val="006E0A03"/>
    <w:rsid w:val="006E10BE"/>
    <w:rsid w:val="006E1211"/>
    <w:rsid w:val="006E18BB"/>
    <w:rsid w:val="006E2B77"/>
    <w:rsid w:val="006E2CA6"/>
    <w:rsid w:val="006E32D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E"/>
    <w:rsid w:val="007015AA"/>
    <w:rsid w:val="0070162D"/>
    <w:rsid w:val="00702364"/>
    <w:rsid w:val="00702489"/>
    <w:rsid w:val="00702497"/>
    <w:rsid w:val="00702671"/>
    <w:rsid w:val="00703957"/>
    <w:rsid w:val="007045F1"/>
    <w:rsid w:val="00705702"/>
    <w:rsid w:val="0070606F"/>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A9"/>
    <w:rsid w:val="007453C1"/>
    <w:rsid w:val="007453F5"/>
    <w:rsid w:val="0074578B"/>
    <w:rsid w:val="00746CD1"/>
    <w:rsid w:val="00747441"/>
    <w:rsid w:val="00747D75"/>
    <w:rsid w:val="00747F6D"/>
    <w:rsid w:val="00750F86"/>
    <w:rsid w:val="00751B47"/>
    <w:rsid w:val="00751C57"/>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347"/>
    <w:rsid w:val="007A17F6"/>
    <w:rsid w:val="007A1AD9"/>
    <w:rsid w:val="007A233D"/>
    <w:rsid w:val="007A2873"/>
    <w:rsid w:val="007A2992"/>
    <w:rsid w:val="007A2A2A"/>
    <w:rsid w:val="007A2BD9"/>
    <w:rsid w:val="007A2E9E"/>
    <w:rsid w:val="007A2EC4"/>
    <w:rsid w:val="007A324D"/>
    <w:rsid w:val="007A3F63"/>
    <w:rsid w:val="007A4042"/>
    <w:rsid w:val="007A41D0"/>
    <w:rsid w:val="007A41E3"/>
    <w:rsid w:val="007A4B63"/>
    <w:rsid w:val="007A53B7"/>
    <w:rsid w:val="007A53FB"/>
    <w:rsid w:val="007A5942"/>
    <w:rsid w:val="007A681B"/>
    <w:rsid w:val="007A7611"/>
    <w:rsid w:val="007A7920"/>
    <w:rsid w:val="007A7AD9"/>
    <w:rsid w:val="007A7DFC"/>
    <w:rsid w:val="007B0A67"/>
    <w:rsid w:val="007B0B95"/>
    <w:rsid w:val="007B0E58"/>
    <w:rsid w:val="007B1532"/>
    <w:rsid w:val="007B1B35"/>
    <w:rsid w:val="007B1ECC"/>
    <w:rsid w:val="007B2374"/>
    <w:rsid w:val="007B2841"/>
    <w:rsid w:val="007B293C"/>
    <w:rsid w:val="007B2C1C"/>
    <w:rsid w:val="007B2E5A"/>
    <w:rsid w:val="007B3201"/>
    <w:rsid w:val="007B33EC"/>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4E9A"/>
    <w:rsid w:val="007C5106"/>
    <w:rsid w:val="007C5521"/>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7052"/>
    <w:rsid w:val="007D71B6"/>
    <w:rsid w:val="007E0EB8"/>
    <w:rsid w:val="007E1286"/>
    <w:rsid w:val="007E1DC5"/>
    <w:rsid w:val="007E2272"/>
    <w:rsid w:val="007E25AD"/>
    <w:rsid w:val="007E2C5D"/>
    <w:rsid w:val="007E350C"/>
    <w:rsid w:val="007E3EF5"/>
    <w:rsid w:val="007E4078"/>
    <w:rsid w:val="007E4C38"/>
    <w:rsid w:val="007E4E30"/>
    <w:rsid w:val="007E4EA1"/>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40D"/>
    <w:rsid w:val="007F4533"/>
    <w:rsid w:val="007F4BF2"/>
    <w:rsid w:val="007F54BF"/>
    <w:rsid w:val="007F5A64"/>
    <w:rsid w:val="007F6DCB"/>
    <w:rsid w:val="007F72BD"/>
    <w:rsid w:val="007F737E"/>
    <w:rsid w:val="00800E03"/>
    <w:rsid w:val="00800F35"/>
    <w:rsid w:val="008011C1"/>
    <w:rsid w:val="00802C53"/>
    <w:rsid w:val="00802DDE"/>
    <w:rsid w:val="00802F1B"/>
    <w:rsid w:val="008030B0"/>
    <w:rsid w:val="00803278"/>
    <w:rsid w:val="008038D8"/>
    <w:rsid w:val="00803AED"/>
    <w:rsid w:val="00803C8E"/>
    <w:rsid w:val="00803DA2"/>
    <w:rsid w:val="00803FAC"/>
    <w:rsid w:val="008044AD"/>
    <w:rsid w:val="0080498A"/>
    <w:rsid w:val="0080504A"/>
    <w:rsid w:val="008050BC"/>
    <w:rsid w:val="00805CBB"/>
    <w:rsid w:val="0080613B"/>
    <w:rsid w:val="00806542"/>
    <w:rsid w:val="008065BA"/>
    <w:rsid w:val="00806C17"/>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54B"/>
    <w:rsid w:val="00817B86"/>
    <w:rsid w:val="00817BA9"/>
    <w:rsid w:val="00817BC4"/>
    <w:rsid w:val="00817DC3"/>
    <w:rsid w:val="0082155B"/>
    <w:rsid w:val="00821EE9"/>
    <w:rsid w:val="00822667"/>
    <w:rsid w:val="00822C9D"/>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29F7"/>
    <w:rsid w:val="008430C5"/>
    <w:rsid w:val="0084325A"/>
    <w:rsid w:val="00843AD2"/>
    <w:rsid w:val="00843B27"/>
    <w:rsid w:val="00844145"/>
    <w:rsid w:val="00844612"/>
    <w:rsid w:val="00844C9B"/>
    <w:rsid w:val="0084529C"/>
    <w:rsid w:val="0084589E"/>
    <w:rsid w:val="00845C0F"/>
    <w:rsid w:val="00845E13"/>
    <w:rsid w:val="008462D0"/>
    <w:rsid w:val="00846CDF"/>
    <w:rsid w:val="00847016"/>
    <w:rsid w:val="008475C4"/>
    <w:rsid w:val="00847686"/>
    <w:rsid w:val="00850138"/>
    <w:rsid w:val="008507C8"/>
    <w:rsid w:val="008516E2"/>
    <w:rsid w:val="00851AEE"/>
    <w:rsid w:val="00851B0A"/>
    <w:rsid w:val="00852979"/>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643A"/>
    <w:rsid w:val="00867528"/>
    <w:rsid w:val="0086780A"/>
    <w:rsid w:val="0086793B"/>
    <w:rsid w:val="00870026"/>
    <w:rsid w:val="008706D4"/>
    <w:rsid w:val="0087072C"/>
    <w:rsid w:val="00870A57"/>
    <w:rsid w:val="00871130"/>
    <w:rsid w:val="008712BA"/>
    <w:rsid w:val="00871800"/>
    <w:rsid w:val="00871B88"/>
    <w:rsid w:val="008727C2"/>
    <w:rsid w:val="00872875"/>
    <w:rsid w:val="00872E76"/>
    <w:rsid w:val="0087320A"/>
    <w:rsid w:val="00873285"/>
    <w:rsid w:val="00873C2A"/>
    <w:rsid w:val="00873CA1"/>
    <w:rsid w:val="00874246"/>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4DEE"/>
    <w:rsid w:val="008850A8"/>
    <w:rsid w:val="00885254"/>
    <w:rsid w:val="00885859"/>
    <w:rsid w:val="00886150"/>
    <w:rsid w:val="00886603"/>
    <w:rsid w:val="008871FE"/>
    <w:rsid w:val="008875EE"/>
    <w:rsid w:val="00887F65"/>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D1B"/>
    <w:rsid w:val="008B3F72"/>
    <w:rsid w:val="008B4129"/>
    <w:rsid w:val="008B4202"/>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09D"/>
    <w:rsid w:val="008C1115"/>
    <w:rsid w:val="008C13A7"/>
    <w:rsid w:val="008C166F"/>
    <w:rsid w:val="008C167D"/>
    <w:rsid w:val="008C1D04"/>
    <w:rsid w:val="008C212C"/>
    <w:rsid w:val="008C2AFC"/>
    <w:rsid w:val="008C3170"/>
    <w:rsid w:val="008C37B4"/>
    <w:rsid w:val="008C38DC"/>
    <w:rsid w:val="008C3C9D"/>
    <w:rsid w:val="008C3CDA"/>
    <w:rsid w:val="008C3D83"/>
    <w:rsid w:val="008C467B"/>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C7F"/>
    <w:rsid w:val="008E1CB9"/>
    <w:rsid w:val="008E2BD2"/>
    <w:rsid w:val="008E2D70"/>
    <w:rsid w:val="008E3713"/>
    <w:rsid w:val="008E3AAA"/>
    <w:rsid w:val="008E3D97"/>
    <w:rsid w:val="008E3ED3"/>
    <w:rsid w:val="008E4153"/>
    <w:rsid w:val="008E4397"/>
    <w:rsid w:val="008E4828"/>
    <w:rsid w:val="008E4A3A"/>
    <w:rsid w:val="008E5002"/>
    <w:rsid w:val="008E555A"/>
    <w:rsid w:val="008E62A9"/>
    <w:rsid w:val="008E6BDE"/>
    <w:rsid w:val="008E78CF"/>
    <w:rsid w:val="008E7974"/>
    <w:rsid w:val="008E79A2"/>
    <w:rsid w:val="008E7A73"/>
    <w:rsid w:val="008F01E9"/>
    <w:rsid w:val="008F0482"/>
    <w:rsid w:val="008F04B3"/>
    <w:rsid w:val="008F0C91"/>
    <w:rsid w:val="008F0FE1"/>
    <w:rsid w:val="008F10E7"/>
    <w:rsid w:val="008F1CC3"/>
    <w:rsid w:val="008F1F82"/>
    <w:rsid w:val="008F2040"/>
    <w:rsid w:val="008F263D"/>
    <w:rsid w:val="008F2E1C"/>
    <w:rsid w:val="008F2E1D"/>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31B"/>
    <w:rsid w:val="00902E42"/>
    <w:rsid w:val="00902FA1"/>
    <w:rsid w:val="00903120"/>
    <w:rsid w:val="00903266"/>
    <w:rsid w:val="00903420"/>
    <w:rsid w:val="009035C1"/>
    <w:rsid w:val="00904E3D"/>
    <w:rsid w:val="00904FED"/>
    <w:rsid w:val="00905025"/>
    <w:rsid w:val="00905123"/>
    <w:rsid w:val="009059A5"/>
    <w:rsid w:val="00905A6D"/>
    <w:rsid w:val="009068E0"/>
    <w:rsid w:val="00907B18"/>
    <w:rsid w:val="00910502"/>
    <w:rsid w:val="009108FC"/>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19F"/>
    <w:rsid w:val="00942927"/>
    <w:rsid w:val="0094297E"/>
    <w:rsid w:val="0094359B"/>
    <w:rsid w:val="00943D69"/>
    <w:rsid w:val="00943E15"/>
    <w:rsid w:val="00944452"/>
    <w:rsid w:val="00944718"/>
    <w:rsid w:val="00944ABF"/>
    <w:rsid w:val="00944C08"/>
    <w:rsid w:val="00944D53"/>
    <w:rsid w:val="00945EBF"/>
    <w:rsid w:val="009460BB"/>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C99"/>
    <w:rsid w:val="009A32BE"/>
    <w:rsid w:val="009A341B"/>
    <w:rsid w:val="009A362D"/>
    <w:rsid w:val="009A3836"/>
    <w:rsid w:val="009A39D1"/>
    <w:rsid w:val="009A3C07"/>
    <w:rsid w:val="009A3D54"/>
    <w:rsid w:val="009A3E80"/>
    <w:rsid w:val="009A3FDD"/>
    <w:rsid w:val="009A4570"/>
    <w:rsid w:val="009A5D5D"/>
    <w:rsid w:val="009A6042"/>
    <w:rsid w:val="009A6962"/>
    <w:rsid w:val="009A7338"/>
    <w:rsid w:val="009A7A29"/>
    <w:rsid w:val="009B09DF"/>
    <w:rsid w:val="009B1507"/>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6EC"/>
    <w:rsid w:val="009C4AD3"/>
    <w:rsid w:val="009C4C8E"/>
    <w:rsid w:val="009C5028"/>
    <w:rsid w:val="009C52A2"/>
    <w:rsid w:val="009C5930"/>
    <w:rsid w:val="009C5EDB"/>
    <w:rsid w:val="009C5EEC"/>
    <w:rsid w:val="009C62D7"/>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7095"/>
    <w:rsid w:val="009D77B1"/>
    <w:rsid w:val="009D7920"/>
    <w:rsid w:val="009D7DDC"/>
    <w:rsid w:val="009E0917"/>
    <w:rsid w:val="009E0B11"/>
    <w:rsid w:val="009E0F0D"/>
    <w:rsid w:val="009E1319"/>
    <w:rsid w:val="009E1678"/>
    <w:rsid w:val="009E2651"/>
    <w:rsid w:val="009E308D"/>
    <w:rsid w:val="009E3362"/>
    <w:rsid w:val="009E3D55"/>
    <w:rsid w:val="009E441C"/>
    <w:rsid w:val="009E4775"/>
    <w:rsid w:val="009E4B4A"/>
    <w:rsid w:val="009E4F2C"/>
    <w:rsid w:val="009E50C2"/>
    <w:rsid w:val="009E5514"/>
    <w:rsid w:val="009E57E6"/>
    <w:rsid w:val="009E61AF"/>
    <w:rsid w:val="009E670B"/>
    <w:rsid w:val="009E6BCA"/>
    <w:rsid w:val="009E6DA2"/>
    <w:rsid w:val="009E7481"/>
    <w:rsid w:val="009E7B83"/>
    <w:rsid w:val="009E7F73"/>
    <w:rsid w:val="009E7F85"/>
    <w:rsid w:val="009F0483"/>
    <w:rsid w:val="009F2497"/>
    <w:rsid w:val="009F2FC4"/>
    <w:rsid w:val="009F324A"/>
    <w:rsid w:val="009F3755"/>
    <w:rsid w:val="009F4331"/>
    <w:rsid w:val="009F4808"/>
    <w:rsid w:val="009F51B2"/>
    <w:rsid w:val="009F53E9"/>
    <w:rsid w:val="009F5967"/>
    <w:rsid w:val="009F67EA"/>
    <w:rsid w:val="009F765C"/>
    <w:rsid w:val="00A00153"/>
    <w:rsid w:val="00A004F2"/>
    <w:rsid w:val="00A00C16"/>
    <w:rsid w:val="00A01248"/>
    <w:rsid w:val="00A0178A"/>
    <w:rsid w:val="00A01A16"/>
    <w:rsid w:val="00A01D35"/>
    <w:rsid w:val="00A01DF2"/>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CF2"/>
    <w:rsid w:val="00A27D53"/>
    <w:rsid w:val="00A300B7"/>
    <w:rsid w:val="00A3029E"/>
    <w:rsid w:val="00A303D4"/>
    <w:rsid w:val="00A3053E"/>
    <w:rsid w:val="00A30685"/>
    <w:rsid w:val="00A313D5"/>
    <w:rsid w:val="00A319F6"/>
    <w:rsid w:val="00A321F1"/>
    <w:rsid w:val="00A32795"/>
    <w:rsid w:val="00A32AA1"/>
    <w:rsid w:val="00A3340D"/>
    <w:rsid w:val="00A34532"/>
    <w:rsid w:val="00A34EB4"/>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B5A"/>
    <w:rsid w:val="00A50FCA"/>
    <w:rsid w:val="00A52383"/>
    <w:rsid w:val="00A52416"/>
    <w:rsid w:val="00A529F5"/>
    <w:rsid w:val="00A52B6B"/>
    <w:rsid w:val="00A52D94"/>
    <w:rsid w:val="00A52DD3"/>
    <w:rsid w:val="00A52E57"/>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67D87"/>
    <w:rsid w:val="00A70267"/>
    <w:rsid w:val="00A70AD6"/>
    <w:rsid w:val="00A70BA0"/>
    <w:rsid w:val="00A71260"/>
    <w:rsid w:val="00A71D6B"/>
    <w:rsid w:val="00A72A73"/>
    <w:rsid w:val="00A72ECE"/>
    <w:rsid w:val="00A7380E"/>
    <w:rsid w:val="00A744FF"/>
    <w:rsid w:val="00A748FF"/>
    <w:rsid w:val="00A74B86"/>
    <w:rsid w:val="00A757A1"/>
    <w:rsid w:val="00A75838"/>
    <w:rsid w:val="00A75E31"/>
    <w:rsid w:val="00A774F4"/>
    <w:rsid w:val="00A801A4"/>
    <w:rsid w:val="00A801F8"/>
    <w:rsid w:val="00A8032B"/>
    <w:rsid w:val="00A80B56"/>
    <w:rsid w:val="00A81363"/>
    <w:rsid w:val="00A816D5"/>
    <w:rsid w:val="00A819FC"/>
    <w:rsid w:val="00A81AF7"/>
    <w:rsid w:val="00A81BA4"/>
    <w:rsid w:val="00A822E6"/>
    <w:rsid w:val="00A82E9D"/>
    <w:rsid w:val="00A83254"/>
    <w:rsid w:val="00A83628"/>
    <w:rsid w:val="00A836F7"/>
    <w:rsid w:val="00A83A19"/>
    <w:rsid w:val="00A83B05"/>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74B"/>
    <w:rsid w:val="00A95EDA"/>
    <w:rsid w:val="00A967D6"/>
    <w:rsid w:val="00A96CDC"/>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59"/>
    <w:rsid w:val="00AA63F6"/>
    <w:rsid w:val="00AA6559"/>
    <w:rsid w:val="00AA67B6"/>
    <w:rsid w:val="00AA6991"/>
    <w:rsid w:val="00AA6F44"/>
    <w:rsid w:val="00AA76AD"/>
    <w:rsid w:val="00AA7995"/>
    <w:rsid w:val="00AB0183"/>
    <w:rsid w:val="00AB025A"/>
    <w:rsid w:val="00AB029B"/>
    <w:rsid w:val="00AB04B3"/>
    <w:rsid w:val="00AB1541"/>
    <w:rsid w:val="00AB1FA1"/>
    <w:rsid w:val="00AB203D"/>
    <w:rsid w:val="00AB20F5"/>
    <w:rsid w:val="00AB2468"/>
    <w:rsid w:val="00AB2B32"/>
    <w:rsid w:val="00AB3591"/>
    <w:rsid w:val="00AB3669"/>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AAF"/>
    <w:rsid w:val="00AC5F8B"/>
    <w:rsid w:val="00AC6BBE"/>
    <w:rsid w:val="00AC70AF"/>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CE3"/>
    <w:rsid w:val="00AD6786"/>
    <w:rsid w:val="00AD717E"/>
    <w:rsid w:val="00AD7448"/>
    <w:rsid w:val="00AD744C"/>
    <w:rsid w:val="00AD75B4"/>
    <w:rsid w:val="00AD7CB4"/>
    <w:rsid w:val="00AD7FF2"/>
    <w:rsid w:val="00AE0076"/>
    <w:rsid w:val="00AE026B"/>
    <w:rsid w:val="00AE04FF"/>
    <w:rsid w:val="00AE05B5"/>
    <w:rsid w:val="00AE05F1"/>
    <w:rsid w:val="00AE089D"/>
    <w:rsid w:val="00AE1678"/>
    <w:rsid w:val="00AE1954"/>
    <w:rsid w:val="00AE1B82"/>
    <w:rsid w:val="00AE1BD2"/>
    <w:rsid w:val="00AE1F08"/>
    <w:rsid w:val="00AE247C"/>
    <w:rsid w:val="00AE276A"/>
    <w:rsid w:val="00AE2C08"/>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0BF"/>
    <w:rsid w:val="00B05147"/>
    <w:rsid w:val="00B05E4F"/>
    <w:rsid w:val="00B0604C"/>
    <w:rsid w:val="00B0621F"/>
    <w:rsid w:val="00B06222"/>
    <w:rsid w:val="00B063C1"/>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6C58"/>
    <w:rsid w:val="00B2710B"/>
    <w:rsid w:val="00B271BC"/>
    <w:rsid w:val="00B276BF"/>
    <w:rsid w:val="00B30A12"/>
    <w:rsid w:val="00B30DF7"/>
    <w:rsid w:val="00B3184C"/>
    <w:rsid w:val="00B31BE7"/>
    <w:rsid w:val="00B32DD2"/>
    <w:rsid w:val="00B32E4C"/>
    <w:rsid w:val="00B33BE6"/>
    <w:rsid w:val="00B3448A"/>
    <w:rsid w:val="00B351D9"/>
    <w:rsid w:val="00B352A9"/>
    <w:rsid w:val="00B35452"/>
    <w:rsid w:val="00B35CC1"/>
    <w:rsid w:val="00B35F34"/>
    <w:rsid w:val="00B36016"/>
    <w:rsid w:val="00B36315"/>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1A88"/>
    <w:rsid w:val="00B52377"/>
    <w:rsid w:val="00B52572"/>
    <w:rsid w:val="00B525B2"/>
    <w:rsid w:val="00B5293E"/>
    <w:rsid w:val="00B52D23"/>
    <w:rsid w:val="00B52D3B"/>
    <w:rsid w:val="00B542C1"/>
    <w:rsid w:val="00B54536"/>
    <w:rsid w:val="00B54542"/>
    <w:rsid w:val="00B545E7"/>
    <w:rsid w:val="00B54873"/>
    <w:rsid w:val="00B54A92"/>
    <w:rsid w:val="00B55193"/>
    <w:rsid w:val="00B56430"/>
    <w:rsid w:val="00B5667D"/>
    <w:rsid w:val="00B567EC"/>
    <w:rsid w:val="00B56A63"/>
    <w:rsid w:val="00B607A0"/>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4555"/>
    <w:rsid w:val="00B74726"/>
    <w:rsid w:val="00B74AA8"/>
    <w:rsid w:val="00B75016"/>
    <w:rsid w:val="00B75B51"/>
    <w:rsid w:val="00B76CA9"/>
    <w:rsid w:val="00B77CF5"/>
    <w:rsid w:val="00B77D21"/>
    <w:rsid w:val="00B77FF6"/>
    <w:rsid w:val="00B801BF"/>
    <w:rsid w:val="00B801C1"/>
    <w:rsid w:val="00B80441"/>
    <w:rsid w:val="00B805FB"/>
    <w:rsid w:val="00B8092D"/>
    <w:rsid w:val="00B80A67"/>
    <w:rsid w:val="00B80D43"/>
    <w:rsid w:val="00B82C72"/>
    <w:rsid w:val="00B82E27"/>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4000"/>
    <w:rsid w:val="00BC5912"/>
    <w:rsid w:val="00BC5DCD"/>
    <w:rsid w:val="00BC73FA"/>
    <w:rsid w:val="00BC7DFA"/>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6D0C"/>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5057"/>
    <w:rsid w:val="00C26442"/>
    <w:rsid w:val="00C266F5"/>
    <w:rsid w:val="00C26C9E"/>
    <w:rsid w:val="00C27848"/>
    <w:rsid w:val="00C27A97"/>
    <w:rsid w:val="00C304C4"/>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953"/>
    <w:rsid w:val="00C35A40"/>
    <w:rsid w:val="00C35D0D"/>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5F46"/>
    <w:rsid w:val="00C46501"/>
    <w:rsid w:val="00C4770A"/>
    <w:rsid w:val="00C47857"/>
    <w:rsid w:val="00C47A4B"/>
    <w:rsid w:val="00C47B74"/>
    <w:rsid w:val="00C5076F"/>
    <w:rsid w:val="00C507AB"/>
    <w:rsid w:val="00C508E5"/>
    <w:rsid w:val="00C511B3"/>
    <w:rsid w:val="00C5132F"/>
    <w:rsid w:val="00C527BE"/>
    <w:rsid w:val="00C528FD"/>
    <w:rsid w:val="00C52C4C"/>
    <w:rsid w:val="00C52F35"/>
    <w:rsid w:val="00C533F5"/>
    <w:rsid w:val="00C538D0"/>
    <w:rsid w:val="00C53B44"/>
    <w:rsid w:val="00C54333"/>
    <w:rsid w:val="00C557E7"/>
    <w:rsid w:val="00C5594A"/>
    <w:rsid w:val="00C56451"/>
    <w:rsid w:val="00C5662E"/>
    <w:rsid w:val="00C5683B"/>
    <w:rsid w:val="00C56BB6"/>
    <w:rsid w:val="00C56DC6"/>
    <w:rsid w:val="00C577D4"/>
    <w:rsid w:val="00C578E0"/>
    <w:rsid w:val="00C6013F"/>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DAE"/>
    <w:rsid w:val="00C81FAE"/>
    <w:rsid w:val="00C81FBB"/>
    <w:rsid w:val="00C82488"/>
    <w:rsid w:val="00C8253C"/>
    <w:rsid w:val="00C82729"/>
    <w:rsid w:val="00C8297E"/>
    <w:rsid w:val="00C829C5"/>
    <w:rsid w:val="00C82E55"/>
    <w:rsid w:val="00C83EF8"/>
    <w:rsid w:val="00C840F7"/>
    <w:rsid w:val="00C8512E"/>
    <w:rsid w:val="00C85650"/>
    <w:rsid w:val="00C8587C"/>
    <w:rsid w:val="00C85941"/>
    <w:rsid w:val="00C85F78"/>
    <w:rsid w:val="00C85FB6"/>
    <w:rsid w:val="00C8628E"/>
    <w:rsid w:val="00C862E2"/>
    <w:rsid w:val="00C879D5"/>
    <w:rsid w:val="00C9008D"/>
    <w:rsid w:val="00C90F1B"/>
    <w:rsid w:val="00C914B9"/>
    <w:rsid w:val="00C923F6"/>
    <w:rsid w:val="00C92CAE"/>
    <w:rsid w:val="00C936B1"/>
    <w:rsid w:val="00C94317"/>
    <w:rsid w:val="00C94387"/>
    <w:rsid w:val="00C94B80"/>
    <w:rsid w:val="00C9507D"/>
    <w:rsid w:val="00C95163"/>
    <w:rsid w:val="00C958A2"/>
    <w:rsid w:val="00C95C2D"/>
    <w:rsid w:val="00C95FC9"/>
    <w:rsid w:val="00C960B8"/>
    <w:rsid w:val="00C96390"/>
    <w:rsid w:val="00C963FC"/>
    <w:rsid w:val="00C964FA"/>
    <w:rsid w:val="00C96C22"/>
    <w:rsid w:val="00C97BE4"/>
    <w:rsid w:val="00C97C73"/>
    <w:rsid w:val="00CA025D"/>
    <w:rsid w:val="00CA0475"/>
    <w:rsid w:val="00CA0FC6"/>
    <w:rsid w:val="00CA1BF4"/>
    <w:rsid w:val="00CA294F"/>
    <w:rsid w:val="00CA2D18"/>
    <w:rsid w:val="00CA3314"/>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5E6"/>
    <w:rsid w:val="00CB4C43"/>
    <w:rsid w:val="00CB54E6"/>
    <w:rsid w:val="00CB5C8D"/>
    <w:rsid w:val="00CB64E2"/>
    <w:rsid w:val="00CB67ED"/>
    <w:rsid w:val="00CB723C"/>
    <w:rsid w:val="00CB7711"/>
    <w:rsid w:val="00CC087E"/>
    <w:rsid w:val="00CC0E9F"/>
    <w:rsid w:val="00CC1B1A"/>
    <w:rsid w:val="00CC1E43"/>
    <w:rsid w:val="00CC1F83"/>
    <w:rsid w:val="00CC21FE"/>
    <w:rsid w:val="00CC2482"/>
    <w:rsid w:val="00CC2AEB"/>
    <w:rsid w:val="00CC3B00"/>
    <w:rsid w:val="00CC3BF5"/>
    <w:rsid w:val="00CC3EA5"/>
    <w:rsid w:val="00CC41B2"/>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BE7"/>
    <w:rsid w:val="00CF4E20"/>
    <w:rsid w:val="00CF5447"/>
    <w:rsid w:val="00CF5826"/>
    <w:rsid w:val="00CF59FB"/>
    <w:rsid w:val="00CF5B35"/>
    <w:rsid w:val="00CF5F8E"/>
    <w:rsid w:val="00CF638D"/>
    <w:rsid w:val="00CF715B"/>
    <w:rsid w:val="00CF7478"/>
    <w:rsid w:val="00CF7C0E"/>
    <w:rsid w:val="00CF7F2A"/>
    <w:rsid w:val="00D00176"/>
    <w:rsid w:val="00D00C82"/>
    <w:rsid w:val="00D0114F"/>
    <w:rsid w:val="00D0149D"/>
    <w:rsid w:val="00D01A33"/>
    <w:rsid w:val="00D02F39"/>
    <w:rsid w:val="00D0300C"/>
    <w:rsid w:val="00D030C9"/>
    <w:rsid w:val="00D03150"/>
    <w:rsid w:val="00D03D27"/>
    <w:rsid w:val="00D042F9"/>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6D9"/>
    <w:rsid w:val="00D1279C"/>
    <w:rsid w:val="00D13EF4"/>
    <w:rsid w:val="00D14ABE"/>
    <w:rsid w:val="00D15180"/>
    <w:rsid w:val="00D15B56"/>
    <w:rsid w:val="00D15C39"/>
    <w:rsid w:val="00D16118"/>
    <w:rsid w:val="00D1628B"/>
    <w:rsid w:val="00D169E9"/>
    <w:rsid w:val="00D1719F"/>
    <w:rsid w:val="00D171D5"/>
    <w:rsid w:val="00D174EC"/>
    <w:rsid w:val="00D17709"/>
    <w:rsid w:val="00D17BE5"/>
    <w:rsid w:val="00D202F6"/>
    <w:rsid w:val="00D20E76"/>
    <w:rsid w:val="00D2148F"/>
    <w:rsid w:val="00D21553"/>
    <w:rsid w:val="00D21725"/>
    <w:rsid w:val="00D221AF"/>
    <w:rsid w:val="00D2291F"/>
    <w:rsid w:val="00D2319F"/>
    <w:rsid w:val="00D23387"/>
    <w:rsid w:val="00D23D66"/>
    <w:rsid w:val="00D248FB"/>
    <w:rsid w:val="00D24FF5"/>
    <w:rsid w:val="00D251CE"/>
    <w:rsid w:val="00D25638"/>
    <w:rsid w:val="00D26D45"/>
    <w:rsid w:val="00D27D37"/>
    <w:rsid w:val="00D30371"/>
    <w:rsid w:val="00D30E43"/>
    <w:rsid w:val="00D31225"/>
    <w:rsid w:val="00D31E8B"/>
    <w:rsid w:val="00D3221E"/>
    <w:rsid w:val="00D329DE"/>
    <w:rsid w:val="00D32CE0"/>
    <w:rsid w:val="00D33489"/>
    <w:rsid w:val="00D3389D"/>
    <w:rsid w:val="00D3412A"/>
    <w:rsid w:val="00D34315"/>
    <w:rsid w:val="00D34B53"/>
    <w:rsid w:val="00D355F4"/>
    <w:rsid w:val="00D35F16"/>
    <w:rsid w:val="00D367A5"/>
    <w:rsid w:val="00D369AF"/>
    <w:rsid w:val="00D36C5A"/>
    <w:rsid w:val="00D36F72"/>
    <w:rsid w:val="00D37317"/>
    <w:rsid w:val="00D3775B"/>
    <w:rsid w:val="00D37A06"/>
    <w:rsid w:val="00D402BD"/>
    <w:rsid w:val="00D40B8A"/>
    <w:rsid w:val="00D40F3C"/>
    <w:rsid w:val="00D41EAF"/>
    <w:rsid w:val="00D42073"/>
    <w:rsid w:val="00D42ACA"/>
    <w:rsid w:val="00D4303D"/>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0F03"/>
    <w:rsid w:val="00D51464"/>
    <w:rsid w:val="00D525A1"/>
    <w:rsid w:val="00D52817"/>
    <w:rsid w:val="00D53275"/>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679DD"/>
    <w:rsid w:val="00D70DAB"/>
    <w:rsid w:val="00D712B6"/>
    <w:rsid w:val="00D72B3D"/>
    <w:rsid w:val="00D73797"/>
    <w:rsid w:val="00D73CA9"/>
    <w:rsid w:val="00D74B7C"/>
    <w:rsid w:val="00D75591"/>
    <w:rsid w:val="00D75C85"/>
    <w:rsid w:val="00D76F65"/>
    <w:rsid w:val="00D773D9"/>
    <w:rsid w:val="00D77790"/>
    <w:rsid w:val="00D80155"/>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677"/>
    <w:rsid w:val="00D86707"/>
    <w:rsid w:val="00D86A57"/>
    <w:rsid w:val="00D86C70"/>
    <w:rsid w:val="00D87C82"/>
    <w:rsid w:val="00D90672"/>
    <w:rsid w:val="00D90815"/>
    <w:rsid w:val="00D909BC"/>
    <w:rsid w:val="00D91355"/>
    <w:rsid w:val="00D9194F"/>
    <w:rsid w:val="00D91BA6"/>
    <w:rsid w:val="00D9250B"/>
    <w:rsid w:val="00D92DA6"/>
    <w:rsid w:val="00D9334A"/>
    <w:rsid w:val="00D934B2"/>
    <w:rsid w:val="00D93905"/>
    <w:rsid w:val="00D93B5D"/>
    <w:rsid w:val="00D93E21"/>
    <w:rsid w:val="00D94115"/>
    <w:rsid w:val="00D94385"/>
    <w:rsid w:val="00D94B86"/>
    <w:rsid w:val="00D95B34"/>
    <w:rsid w:val="00D95FAE"/>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ED"/>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91E"/>
    <w:rsid w:val="00DC6CC5"/>
    <w:rsid w:val="00DC72AD"/>
    <w:rsid w:val="00DC74F8"/>
    <w:rsid w:val="00DC757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DA7"/>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66D4"/>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17B10"/>
    <w:rsid w:val="00E20424"/>
    <w:rsid w:val="00E210FF"/>
    <w:rsid w:val="00E21216"/>
    <w:rsid w:val="00E21830"/>
    <w:rsid w:val="00E2197F"/>
    <w:rsid w:val="00E21DDC"/>
    <w:rsid w:val="00E225A7"/>
    <w:rsid w:val="00E2289D"/>
    <w:rsid w:val="00E22958"/>
    <w:rsid w:val="00E22C34"/>
    <w:rsid w:val="00E22C4E"/>
    <w:rsid w:val="00E23162"/>
    <w:rsid w:val="00E2322C"/>
    <w:rsid w:val="00E23F78"/>
    <w:rsid w:val="00E240D4"/>
    <w:rsid w:val="00E24EC5"/>
    <w:rsid w:val="00E24F61"/>
    <w:rsid w:val="00E2564E"/>
    <w:rsid w:val="00E2589A"/>
    <w:rsid w:val="00E25913"/>
    <w:rsid w:val="00E25B64"/>
    <w:rsid w:val="00E2628B"/>
    <w:rsid w:val="00E26672"/>
    <w:rsid w:val="00E276EA"/>
    <w:rsid w:val="00E27778"/>
    <w:rsid w:val="00E27DC2"/>
    <w:rsid w:val="00E30563"/>
    <w:rsid w:val="00E30E23"/>
    <w:rsid w:val="00E31840"/>
    <w:rsid w:val="00E31EAE"/>
    <w:rsid w:val="00E31F41"/>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473"/>
    <w:rsid w:val="00E52AAE"/>
    <w:rsid w:val="00E53019"/>
    <w:rsid w:val="00E53332"/>
    <w:rsid w:val="00E542A0"/>
    <w:rsid w:val="00E5454C"/>
    <w:rsid w:val="00E54EC1"/>
    <w:rsid w:val="00E551B1"/>
    <w:rsid w:val="00E55528"/>
    <w:rsid w:val="00E559EB"/>
    <w:rsid w:val="00E55A29"/>
    <w:rsid w:val="00E55E7D"/>
    <w:rsid w:val="00E562B1"/>
    <w:rsid w:val="00E56446"/>
    <w:rsid w:val="00E5726E"/>
    <w:rsid w:val="00E57B44"/>
    <w:rsid w:val="00E602AA"/>
    <w:rsid w:val="00E60F1D"/>
    <w:rsid w:val="00E615AF"/>
    <w:rsid w:val="00E61D45"/>
    <w:rsid w:val="00E62766"/>
    <w:rsid w:val="00E62838"/>
    <w:rsid w:val="00E62F53"/>
    <w:rsid w:val="00E63AEA"/>
    <w:rsid w:val="00E63F46"/>
    <w:rsid w:val="00E645F6"/>
    <w:rsid w:val="00E647B9"/>
    <w:rsid w:val="00E64887"/>
    <w:rsid w:val="00E64D1D"/>
    <w:rsid w:val="00E65745"/>
    <w:rsid w:val="00E65DCE"/>
    <w:rsid w:val="00E66B7A"/>
    <w:rsid w:val="00E679F7"/>
    <w:rsid w:val="00E67EC5"/>
    <w:rsid w:val="00E67F52"/>
    <w:rsid w:val="00E70148"/>
    <w:rsid w:val="00E7061B"/>
    <w:rsid w:val="00E71149"/>
    <w:rsid w:val="00E71905"/>
    <w:rsid w:val="00E71A54"/>
    <w:rsid w:val="00E72A77"/>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5DA7"/>
    <w:rsid w:val="00E95E58"/>
    <w:rsid w:val="00E963DD"/>
    <w:rsid w:val="00E965FA"/>
    <w:rsid w:val="00E96713"/>
    <w:rsid w:val="00E968B0"/>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E0E"/>
    <w:rsid w:val="00EA3E45"/>
    <w:rsid w:val="00EA4084"/>
    <w:rsid w:val="00EA53CD"/>
    <w:rsid w:val="00EA5F5E"/>
    <w:rsid w:val="00EB002C"/>
    <w:rsid w:val="00EB0A4B"/>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5DCA"/>
    <w:rsid w:val="00EB6573"/>
    <w:rsid w:val="00EB6ED4"/>
    <w:rsid w:val="00EB753F"/>
    <w:rsid w:val="00EC062B"/>
    <w:rsid w:val="00EC0B0E"/>
    <w:rsid w:val="00EC0C5F"/>
    <w:rsid w:val="00EC16D3"/>
    <w:rsid w:val="00EC1A9A"/>
    <w:rsid w:val="00EC1B18"/>
    <w:rsid w:val="00EC23F4"/>
    <w:rsid w:val="00EC2676"/>
    <w:rsid w:val="00EC2A5B"/>
    <w:rsid w:val="00EC43E6"/>
    <w:rsid w:val="00EC4A4A"/>
    <w:rsid w:val="00EC4A6A"/>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39A7"/>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7D1F"/>
    <w:rsid w:val="00EE7EFE"/>
    <w:rsid w:val="00EF0104"/>
    <w:rsid w:val="00EF02A4"/>
    <w:rsid w:val="00EF0FC6"/>
    <w:rsid w:val="00EF10E7"/>
    <w:rsid w:val="00EF11BA"/>
    <w:rsid w:val="00EF24E5"/>
    <w:rsid w:val="00EF27B3"/>
    <w:rsid w:val="00EF3284"/>
    <w:rsid w:val="00EF33DD"/>
    <w:rsid w:val="00EF39D0"/>
    <w:rsid w:val="00EF3B2D"/>
    <w:rsid w:val="00EF43DC"/>
    <w:rsid w:val="00EF478D"/>
    <w:rsid w:val="00EF47F9"/>
    <w:rsid w:val="00EF5B95"/>
    <w:rsid w:val="00EF5F5B"/>
    <w:rsid w:val="00EF66F2"/>
    <w:rsid w:val="00EF6BB4"/>
    <w:rsid w:val="00EF7C74"/>
    <w:rsid w:val="00EF7E06"/>
    <w:rsid w:val="00F002F3"/>
    <w:rsid w:val="00F00352"/>
    <w:rsid w:val="00F003B8"/>
    <w:rsid w:val="00F00958"/>
    <w:rsid w:val="00F01FB8"/>
    <w:rsid w:val="00F027BC"/>
    <w:rsid w:val="00F028D1"/>
    <w:rsid w:val="00F0293B"/>
    <w:rsid w:val="00F032DE"/>
    <w:rsid w:val="00F0355E"/>
    <w:rsid w:val="00F0356C"/>
    <w:rsid w:val="00F03D0B"/>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B7E"/>
    <w:rsid w:val="00F24D9B"/>
    <w:rsid w:val="00F2527A"/>
    <w:rsid w:val="00F25599"/>
    <w:rsid w:val="00F25BAB"/>
    <w:rsid w:val="00F25BF6"/>
    <w:rsid w:val="00F26151"/>
    <w:rsid w:val="00F2634D"/>
    <w:rsid w:val="00F27388"/>
    <w:rsid w:val="00F27513"/>
    <w:rsid w:val="00F27A13"/>
    <w:rsid w:val="00F3006F"/>
    <w:rsid w:val="00F30ECC"/>
    <w:rsid w:val="00F31273"/>
    <w:rsid w:val="00F312B4"/>
    <w:rsid w:val="00F322E2"/>
    <w:rsid w:val="00F324CF"/>
    <w:rsid w:val="00F3254F"/>
    <w:rsid w:val="00F32948"/>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F0E"/>
    <w:rsid w:val="00F544B8"/>
    <w:rsid w:val="00F54863"/>
    <w:rsid w:val="00F54B19"/>
    <w:rsid w:val="00F55043"/>
    <w:rsid w:val="00F55CB4"/>
    <w:rsid w:val="00F56AE7"/>
    <w:rsid w:val="00F56B4D"/>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1DFB"/>
    <w:rsid w:val="00F7221E"/>
    <w:rsid w:val="00F72F25"/>
    <w:rsid w:val="00F73045"/>
    <w:rsid w:val="00F731AE"/>
    <w:rsid w:val="00F73485"/>
    <w:rsid w:val="00F73C33"/>
    <w:rsid w:val="00F74615"/>
    <w:rsid w:val="00F74701"/>
    <w:rsid w:val="00F747AD"/>
    <w:rsid w:val="00F75089"/>
    <w:rsid w:val="00F759B1"/>
    <w:rsid w:val="00F75E48"/>
    <w:rsid w:val="00F764EE"/>
    <w:rsid w:val="00F766EA"/>
    <w:rsid w:val="00F76879"/>
    <w:rsid w:val="00F770D3"/>
    <w:rsid w:val="00F80629"/>
    <w:rsid w:val="00F80DA4"/>
    <w:rsid w:val="00F815C6"/>
    <w:rsid w:val="00F818D8"/>
    <w:rsid w:val="00F81E5B"/>
    <w:rsid w:val="00F82317"/>
    <w:rsid w:val="00F82F46"/>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53D"/>
    <w:rsid w:val="00F926E9"/>
    <w:rsid w:val="00F929DB"/>
    <w:rsid w:val="00F92FA1"/>
    <w:rsid w:val="00F93275"/>
    <w:rsid w:val="00F9341A"/>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5343"/>
    <w:rsid w:val="00FA5A59"/>
    <w:rsid w:val="00FA5B2D"/>
    <w:rsid w:val="00FA5E8F"/>
    <w:rsid w:val="00FA6227"/>
    <w:rsid w:val="00FA6625"/>
    <w:rsid w:val="00FA68B0"/>
    <w:rsid w:val="00FA706E"/>
    <w:rsid w:val="00FA74C7"/>
    <w:rsid w:val="00FB004B"/>
    <w:rsid w:val="00FB0398"/>
    <w:rsid w:val="00FB0626"/>
    <w:rsid w:val="00FB11D7"/>
    <w:rsid w:val="00FB1784"/>
    <w:rsid w:val="00FB1CC8"/>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1D6"/>
    <w:rsid w:val="00FC7B13"/>
    <w:rsid w:val="00FC7E35"/>
    <w:rsid w:val="00FD0D16"/>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105"/>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403A"/>
    <w:rsid w:val="00FF41D6"/>
    <w:rsid w:val="00FF4346"/>
    <w:rsid w:val="00FF467D"/>
    <w:rsid w:val="00FF46C6"/>
    <w:rsid w:val="00FF4822"/>
    <w:rsid w:val="00FF4952"/>
    <w:rsid w:val="00FF499D"/>
    <w:rsid w:val="00FF4EA0"/>
    <w:rsid w:val="00FF52CA"/>
    <w:rsid w:val="00FF52F8"/>
    <w:rsid w:val="00FF53D7"/>
    <w:rsid w:val="00FF5421"/>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file:///C:\Users\Jrivera\Desktop\RESPALDO%20JLRH%2024%20ENE%202018\Equipo%20anterior\Mis%20documentos\CUENTA%20P&#218;BLICA%20ANUAL%202017\INDICADORES%20DE%20POSTURA%20FISCAL%202017.xls!BALANCES!F28C4:F35C6"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oleObject" Target="file:///C:\Users\Jrivera\Desktop\RESPALDO%20JLRH%2024%20ENE%202018\Equipo%20anterior\Mis%20documentos\CUENTA%20P&#218;BLICA%20ANUAL%202017\INDICADORES%20DE%20POSTURA%20FISCAL%202017.xls!BALANCES!F2C1:F16C3"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Hoja_de_c_lculo_de_Microsoft_Excel3.xlsx"/><Relationship Id="rId23" Type="http://schemas.openxmlformats.org/officeDocument/2006/relationships/oleObject" Target="file:///C:\Users\Jrivera\Desktop\RESPALDO%20JLRH%2024%20ENE%202018\Equipo%20anterior\Mis%20documentos\CUENTA%20P&#218;BLICA%20ANUAL%202017\INDICADORES%20DE%20POSTURA%20FISCAL%202017.xls!BALANCES!F20C1:F25C2"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file:///C:\Users\Jrivera\Desktop\RESPALDO%20JLRH%2024%20ENE%202018\Equipo%20anterior\Mis%20documentos\CUENTA%20P&#218;BLICA%20ANUAL%202017\INDICADORES%20DE%20POSTURA%20FISCAL%202017.xls!PF!F1C1:F32C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58C09-0496-4CF1-84E9-22FFDF93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6269</Words>
  <Characters>33892</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40081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2</cp:revision>
  <cp:lastPrinted>2018-04-24T20:04:00Z</cp:lastPrinted>
  <dcterms:created xsi:type="dcterms:W3CDTF">2018-05-03T17:49:00Z</dcterms:created>
  <dcterms:modified xsi:type="dcterms:W3CDTF">2018-05-03T17:49:00Z</dcterms:modified>
</cp:coreProperties>
</file>